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F2422" w14:textId="71CE3EA2" w:rsidR="00E642BE" w:rsidRPr="0062130E" w:rsidRDefault="00E642BE" w:rsidP="00E642BE">
      <w:pPr>
        <w:spacing w:line="276" w:lineRule="auto"/>
        <w:jc w:val="both"/>
        <w:rPr>
          <w:rFonts w:cs="Arial"/>
          <w:b/>
          <w:sz w:val="22"/>
          <w:szCs w:val="22"/>
          <w:shd w:val="clear" w:color="auto" w:fill="FFFFFF"/>
        </w:rPr>
      </w:pPr>
      <w:r w:rsidRPr="0062130E">
        <w:rPr>
          <w:rFonts w:cs="Arial"/>
          <w:b/>
          <w:sz w:val="22"/>
          <w:szCs w:val="22"/>
        </w:rPr>
        <w:t>Application Ref:</w:t>
      </w:r>
      <w:r w:rsidRPr="0062130E">
        <w:rPr>
          <w:rFonts w:cs="Arial"/>
          <w:b/>
          <w:sz w:val="22"/>
          <w:szCs w:val="22"/>
          <w:shd w:val="clear" w:color="auto" w:fill="FFFFFF"/>
        </w:rPr>
        <w:t xml:space="preserve"> </w:t>
      </w:r>
      <w:r w:rsidR="00285357" w:rsidRPr="0062130E">
        <w:rPr>
          <w:rFonts w:cs="Arial"/>
          <w:bCs/>
          <w:sz w:val="22"/>
          <w:szCs w:val="22"/>
          <w:shd w:val="clear" w:color="auto" w:fill="FFFFFF"/>
        </w:rPr>
        <w:t>24/</w:t>
      </w:r>
      <w:r w:rsidR="0062130E" w:rsidRPr="0062130E">
        <w:rPr>
          <w:rFonts w:cs="Arial"/>
          <w:bCs/>
          <w:sz w:val="22"/>
          <w:szCs w:val="22"/>
          <w:shd w:val="clear" w:color="auto" w:fill="FFFFFF"/>
        </w:rPr>
        <w:t>2073</w:t>
      </w:r>
      <w:r w:rsidR="00285357" w:rsidRPr="0062130E">
        <w:rPr>
          <w:rFonts w:cs="Arial"/>
          <w:bCs/>
          <w:sz w:val="22"/>
          <w:szCs w:val="22"/>
          <w:shd w:val="clear" w:color="auto" w:fill="FFFFFF"/>
        </w:rPr>
        <w:t>/OUT</w:t>
      </w:r>
    </w:p>
    <w:p w14:paraId="3CA9DFD4" w14:textId="77777777" w:rsidR="00E642BE" w:rsidRPr="0062130E" w:rsidRDefault="00E642BE" w:rsidP="00E642BE">
      <w:pPr>
        <w:spacing w:line="276" w:lineRule="auto"/>
        <w:jc w:val="both"/>
        <w:rPr>
          <w:rFonts w:cs="Arial"/>
          <w:sz w:val="22"/>
          <w:szCs w:val="22"/>
          <w:shd w:val="clear" w:color="auto" w:fill="FFFFFF"/>
        </w:rPr>
      </w:pPr>
    </w:p>
    <w:p w14:paraId="04A0CE55" w14:textId="58FDA4D6" w:rsidR="00C25B54" w:rsidRPr="0062130E" w:rsidRDefault="00E642BE" w:rsidP="00E642BE">
      <w:pPr>
        <w:spacing w:line="276" w:lineRule="auto"/>
        <w:jc w:val="both"/>
        <w:rPr>
          <w:rFonts w:cs="Arial"/>
          <w:sz w:val="22"/>
          <w:szCs w:val="22"/>
        </w:rPr>
      </w:pPr>
      <w:r w:rsidRPr="0062130E">
        <w:rPr>
          <w:rFonts w:cs="Arial"/>
          <w:b/>
          <w:sz w:val="22"/>
          <w:szCs w:val="22"/>
        </w:rPr>
        <w:t>Proposal</w:t>
      </w:r>
      <w:r w:rsidRPr="0062130E">
        <w:rPr>
          <w:rFonts w:cs="Arial"/>
          <w:sz w:val="22"/>
          <w:szCs w:val="22"/>
        </w:rPr>
        <w:t xml:space="preserve">: </w:t>
      </w:r>
      <w:r w:rsidR="00285357" w:rsidRPr="0062130E">
        <w:rPr>
          <w:rFonts w:cs="Arial"/>
          <w:sz w:val="22"/>
          <w:szCs w:val="22"/>
          <w:shd w:val="clear" w:color="auto" w:fill="FFFFFF"/>
        </w:rPr>
        <w:t xml:space="preserve">Outline Application: </w:t>
      </w:r>
      <w:r w:rsidR="0062130E" w:rsidRPr="0062130E">
        <w:rPr>
          <w:rFonts w:cs="Arial"/>
          <w:sz w:val="22"/>
          <w:szCs w:val="22"/>
          <w:shd w:val="clear" w:color="auto" w:fill="FFFFFF"/>
        </w:rPr>
        <w:t>Development of up to 600 residential dwellings (Use Class C3(a)), construction of a 5-bedroom property for children’s social care and supported living (Use Class C3(b)). Two vehicular access points from Little Green Lane and further pedestrian / cycleway accesses. A one form entry primary school (Use Class F1(a)) (plus expansion land for a two form entry primary school). A mixed use local centre including provision for NHS health and social care services (Use Class E(e)), community building (Use Class F2), retail and cafe provision (Use Class E(a-c)), car parking and associated infrastructure. A country park, areas for play and recreation, allotments, community orchard and landscaping with associated infrastructure including sustainable urban drainage systems. (Layout, scale, appearance and landscape as reserved matters).</w:t>
      </w:r>
    </w:p>
    <w:p w14:paraId="5AE3842A" w14:textId="77777777" w:rsidR="00524CA7" w:rsidRPr="00D550AD" w:rsidRDefault="00524CA7" w:rsidP="00E642BE">
      <w:pPr>
        <w:spacing w:line="276" w:lineRule="auto"/>
        <w:jc w:val="both"/>
        <w:rPr>
          <w:rFonts w:cs="Arial"/>
          <w:b/>
          <w:bCs/>
          <w:color w:val="0070C0"/>
          <w:sz w:val="22"/>
          <w:szCs w:val="22"/>
        </w:rPr>
      </w:pPr>
    </w:p>
    <w:p w14:paraId="28183ABE" w14:textId="551825C7" w:rsidR="00E642BE" w:rsidRPr="00A51DF9" w:rsidRDefault="00E642BE" w:rsidP="00E642BE">
      <w:pPr>
        <w:spacing w:line="276" w:lineRule="auto"/>
        <w:jc w:val="both"/>
        <w:rPr>
          <w:rFonts w:cs="Arial"/>
          <w:b/>
          <w:sz w:val="22"/>
          <w:szCs w:val="22"/>
        </w:rPr>
      </w:pPr>
      <w:r w:rsidRPr="00A51DF9">
        <w:rPr>
          <w:rFonts w:cs="Arial"/>
          <w:b/>
          <w:bCs/>
          <w:sz w:val="22"/>
          <w:szCs w:val="22"/>
        </w:rPr>
        <w:t>Site address:</w:t>
      </w:r>
      <w:r w:rsidRPr="00A51DF9">
        <w:rPr>
          <w:rFonts w:cs="Arial"/>
          <w:b/>
          <w:sz w:val="22"/>
          <w:szCs w:val="22"/>
        </w:rPr>
        <w:t xml:space="preserve"> </w:t>
      </w:r>
      <w:r w:rsidR="00A51DF9" w:rsidRPr="00A51DF9">
        <w:rPr>
          <w:rFonts w:cs="Arial"/>
          <w:sz w:val="22"/>
          <w:szCs w:val="22"/>
          <w:shd w:val="clear" w:color="auto" w:fill="FFFFFF"/>
        </w:rPr>
        <w:t>Land To North Of Little Green Lane Croxley Green WD3 3SP.</w:t>
      </w:r>
    </w:p>
    <w:p w14:paraId="199ED0F5" w14:textId="77777777" w:rsidR="00C85C70" w:rsidRDefault="00C85C70" w:rsidP="00674787">
      <w:pPr>
        <w:jc w:val="both"/>
        <w:rPr>
          <w:rFonts w:cs="Arial"/>
          <w:b/>
          <w:color w:val="0070C0"/>
          <w:sz w:val="22"/>
          <w:szCs w:val="22"/>
        </w:rPr>
      </w:pPr>
    </w:p>
    <w:p w14:paraId="1B03173B" w14:textId="2412A249" w:rsidR="00674787" w:rsidRPr="0007420F" w:rsidRDefault="00E642BE" w:rsidP="00674787">
      <w:pPr>
        <w:jc w:val="both"/>
        <w:rPr>
          <w:rFonts w:cs="Arial"/>
          <w:b/>
          <w:bCs/>
          <w:sz w:val="22"/>
          <w:szCs w:val="22"/>
        </w:rPr>
      </w:pPr>
      <w:r w:rsidRPr="0007420F">
        <w:rPr>
          <w:rFonts w:cs="Arial"/>
          <w:b/>
          <w:sz w:val="22"/>
          <w:szCs w:val="22"/>
        </w:rPr>
        <w:t>Representation:</w:t>
      </w:r>
      <w:r w:rsidR="00BF30E6" w:rsidRPr="0007420F">
        <w:rPr>
          <w:rFonts w:cs="Arial"/>
          <w:sz w:val="22"/>
          <w:szCs w:val="22"/>
        </w:rPr>
        <w:t xml:space="preserve"> </w:t>
      </w:r>
      <w:r w:rsidR="00EB77F3" w:rsidRPr="0007420F">
        <w:rPr>
          <w:rFonts w:cs="Arial"/>
          <w:sz w:val="22"/>
          <w:szCs w:val="22"/>
        </w:rPr>
        <w:t xml:space="preserve">The </w:t>
      </w:r>
      <w:r w:rsidR="000B1327" w:rsidRPr="0007420F">
        <w:rPr>
          <w:rFonts w:cs="Arial"/>
          <w:sz w:val="22"/>
          <w:szCs w:val="22"/>
        </w:rPr>
        <w:t>propos</w:t>
      </w:r>
      <w:r w:rsidR="009675BC" w:rsidRPr="0007420F">
        <w:rPr>
          <w:rFonts w:cs="Arial"/>
          <w:sz w:val="22"/>
          <w:szCs w:val="22"/>
        </w:rPr>
        <w:t>al</w:t>
      </w:r>
      <w:r w:rsidR="00524CA7" w:rsidRPr="0007420F">
        <w:rPr>
          <w:rFonts w:cs="Arial"/>
          <w:sz w:val="22"/>
          <w:szCs w:val="22"/>
        </w:rPr>
        <w:t xml:space="preserve"> relates to the development of </w:t>
      </w:r>
      <w:r w:rsidR="00285357" w:rsidRPr="0007420F">
        <w:rPr>
          <w:rFonts w:cs="Arial"/>
          <w:sz w:val="22"/>
          <w:szCs w:val="22"/>
        </w:rPr>
        <w:t xml:space="preserve">up to </w:t>
      </w:r>
      <w:r w:rsidR="00C85C70" w:rsidRPr="0007420F">
        <w:rPr>
          <w:rFonts w:cs="Arial"/>
          <w:sz w:val="22"/>
          <w:szCs w:val="22"/>
        </w:rPr>
        <w:t>600</w:t>
      </w:r>
      <w:r w:rsidR="00524CA7" w:rsidRPr="0007420F">
        <w:rPr>
          <w:rFonts w:cs="Arial"/>
          <w:sz w:val="22"/>
          <w:szCs w:val="22"/>
        </w:rPr>
        <w:t xml:space="preserve"> residential dwellings</w:t>
      </w:r>
      <w:r w:rsidR="00C85C70" w:rsidRPr="0007420F">
        <w:rPr>
          <w:rFonts w:cs="Arial"/>
          <w:sz w:val="22"/>
          <w:szCs w:val="22"/>
        </w:rPr>
        <w:t xml:space="preserve"> and associated works.</w:t>
      </w:r>
      <w:r w:rsidR="00524CA7" w:rsidRPr="0007420F">
        <w:rPr>
          <w:rFonts w:cs="Arial"/>
          <w:sz w:val="22"/>
          <w:szCs w:val="22"/>
        </w:rPr>
        <w:t xml:space="preserve"> The </w:t>
      </w:r>
      <w:r w:rsidR="000B1327" w:rsidRPr="0007420F">
        <w:rPr>
          <w:rFonts w:cs="Arial"/>
          <w:sz w:val="22"/>
          <w:szCs w:val="22"/>
        </w:rPr>
        <w:t xml:space="preserve">application site is </w:t>
      </w:r>
      <w:r w:rsidR="0080285B" w:rsidRPr="0007420F">
        <w:rPr>
          <w:rFonts w:cs="Arial"/>
          <w:sz w:val="22"/>
          <w:szCs w:val="22"/>
        </w:rPr>
        <w:t>located wholly</w:t>
      </w:r>
      <w:r w:rsidR="000B1327" w:rsidRPr="0007420F">
        <w:rPr>
          <w:rFonts w:cs="Arial"/>
          <w:sz w:val="22"/>
          <w:szCs w:val="22"/>
        </w:rPr>
        <w:t xml:space="preserve"> within the Metropolitan Green Belt</w:t>
      </w:r>
      <w:r w:rsidR="00C85C70" w:rsidRPr="0007420F">
        <w:rPr>
          <w:rFonts w:cs="Arial"/>
          <w:sz w:val="22"/>
          <w:szCs w:val="22"/>
        </w:rPr>
        <w:t>.</w:t>
      </w:r>
    </w:p>
    <w:p w14:paraId="15EBDF13" w14:textId="77777777" w:rsidR="00453CFC" w:rsidRPr="00D550AD" w:rsidRDefault="00453CFC" w:rsidP="00453CFC">
      <w:pPr>
        <w:jc w:val="both"/>
        <w:rPr>
          <w:rFonts w:cs="Arial"/>
          <w:color w:val="0070C0"/>
          <w:sz w:val="22"/>
          <w:szCs w:val="22"/>
        </w:rPr>
      </w:pPr>
    </w:p>
    <w:p w14:paraId="1BAC3374" w14:textId="5F9B4E6D" w:rsidR="00A51DF9" w:rsidRPr="00F04F3C" w:rsidRDefault="00A51DF9" w:rsidP="00A51DF9">
      <w:pPr>
        <w:jc w:val="both"/>
        <w:rPr>
          <w:rFonts w:cs="Arial"/>
          <w:sz w:val="22"/>
          <w:szCs w:val="22"/>
        </w:rPr>
      </w:pPr>
      <w:r w:rsidRPr="00F04F3C">
        <w:rPr>
          <w:rFonts w:cs="Arial"/>
          <w:sz w:val="22"/>
          <w:szCs w:val="22"/>
        </w:rPr>
        <w:t xml:space="preserve">The </w:t>
      </w:r>
      <w:r>
        <w:rPr>
          <w:rFonts w:cs="Arial"/>
          <w:sz w:val="22"/>
          <w:szCs w:val="22"/>
        </w:rPr>
        <w:t>a</w:t>
      </w:r>
      <w:r w:rsidRPr="00F04F3C">
        <w:rPr>
          <w:rFonts w:cs="Arial"/>
          <w:sz w:val="22"/>
          <w:szCs w:val="22"/>
        </w:rPr>
        <w:t>pplication site has not been allocated as a housing site by the Site Allocations Local Development Document (2014) and as such is not currently identified as part of the District’s housing supply. The site should therefore be considered as a windfall site. Policy CP2 of the adopted Core Strategy (adopted 2011) states that applications for windfall sites will be considered on a case by case basis having regard to:</w:t>
      </w:r>
    </w:p>
    <w:p w14:paraId="383EAD8E" w14:textId="77777777" w:rsidR="00A51DF9" w:rsidRPr="00F04F3C" w:rsidRDefault="00A51DF9" w:rsidP="00A51DF9">
      <w:pPr>
        <w:jc w:val="both"/>
        <w:rPr>
          <w:rFonts w:cs="Arial"/>
          <w:sz w:val="22"/>
          <w:szCs w:val="22"/>
        </w:rPr>
      </w:pPr>
    </w:p>
    <w:p w14:paraId="5794E4D8" w14:textId="77777777" w:rsidR="00A51DF9" w:rsidRPr="00F04F3C" w:rsidRDefault="00A51DF9" w:rsidP="00A51DF9">
      <w:pPr>
        <w:numPr>
          <w:ilvl w:val="0"/>
          <w:numId w:val="10"/>
        </w:numPr>
        <w:tabs>
          <w:tab w:val="clear" w:pos="720"/>
          <w:tab w:val="num" w:pos="567"/>
        </w:tabs>
        <w:jc w:val="both"/>
        <w:rPr>
          <w:rFonts w:cs="Arial"/>
          <w:sz w:val="22"/>
          <w:szCs w:val="22"/>
        </w:rPr>
      </w:pPr>
      <w:r w:rsidRPr="00F04F3C">
        <w:rPr>
          <w:rFonts w:cs="Arial"/>
          <w:sz w:val="22"/>
          <w:szCs w:val="22"/>
        </w:rPr>
        <w:t>the location of the proposed development, taking into account the Spatial Strategy</w:t>
      </w:r>
    </w:p>
    <w:p w14:paraId="061C1E85" w14:textId="77777777" w:rsidR="00A51DF9" w:rsidRPr="00F04F3C" w:rsidRDefault="00A51DF9" w:rsidP="00A51DF9">
      <w:pPr>
        <w:numPr>
          <w:ilvl w:val="0"/>
          <w:numId w:val="10"/>
        </w:numPr>
        <w:tabs>
          <w:tab w:val="clear" w:pos="720"/>
          <w:tab w:val="num" w:pos="567"/>
        </w:tabs>
        <w:jc w:val="both"/>
        <w:rPr>
          <w:rFonts w:cs="Arial"/>
          <w:sz w:val="22"/>
          <w:szCs w:val="22"/>
        </w:rPr>
      </w:pPr>
      <w:r w:rsidRPr="00F04F3C">
        <w:rPr>
          <w:rFonts w:cs="Arial"/>
          <w:sz w:val="22"/>
          <w:szCs w:val="22"/>
        </w:rPr>
        <w:t>the sustainability of the development and its contribution to meeting local housing needs</w:t>
      </w:r>
    </w:p>
    <w:p w14:paraId="7FCB84F1" w14:textId="77777777" w:rsidR="00A51DF9" w:rsidRPr="00F04F3C" w:rsidRDefault="00A51DF9" w:rsidP="00A51DF9">
      <w:pPr>
        <w:numPr>
          <w:ilvl w:val="0"/>
          <w:numId w:val="10"/>
        </w:numPr>
        <w:tabs>
          <w:tab w:val="clear" w:pos="720"/>
          <w:tab w:val="num" w:pos="567"/>
        </w:tabs>
        <w:jc w:val="both"/>
        <w:rPr>
          <w:rFonts w:cs="Arial"/>
          <w:sz w:val="22"/>
          <w:szCs w:val="22"/>
        </w:rPr>
      </w:pPr>
      <w:r w:rsidRPr="00F04F3C">
        <w:rPr>
          <w:rFonts w:cs="Arial"/>
          <w:sz w:val="22"/>
          <w:szCs w:val="22"/>
        </w:rPr>
        <w:t>infrastructure requirements and the impact on the delivery of allocated housing sites</w:t>
      </w:r>
    </w:p>
    <w:p w14:paraId="3DB80D55" w14:textId="77777777" w:rsidR="00A51DF9" w:rsidRPr="00F04F3C" w:rsidRDefault="00A51DF9" w:rsidP="00A51DF9">
      <w:pPr>
        <w:numPr>
          <w:ilvl w:val="0"/>
          <w:numId w:val="10"/>
        </w:numPr>
        <w:tabs>
          <w:tab w:val="clear" w:pos="720"/>
          <w:tab w:val="num" w:pos="567"/>
        </w:tabs>
        <w:jc w:val="both"/>
        <w:rPr>
          <w:rFonts w:cs="Arial"/>
          <w:sz w:val="22"/>
          <w:szCs w:val="22"/>
        </w:rPr>
      </w:pPr>
      <w:r w:rsidRPr="00F04F3C">
        <w:rPr>
          <w:rFonts w:cs="Arial"/>
          <w:sz w:val="22"/>
          <w:szCs w:val="22"/>
        </w:rPr>
        <w:t>monitoring information relating to housing supply and the Three Rivers housing target.</w:t>
      </w:r>
    </w:p>
    <w:p w14:paraId="0C803D1D" w14:textId="77777777" w:rsidR="00A51DF9" w:rsidRDefault="00A51DF9" w:rsidP="007A6821">
      <w:pPr>
        <w:jc w:val="both"/>
        <w:rPr>
          <w:rFonts w:cs="Arial"/>
          <w:color w:val="0070C0"/>
          <w:sz w:val="22"/>
          <w:szCs w:val="22"/>
        </w:rPr>
      </w:pPr>
    </w:p>
    <w:p w14:paraId="570B6068" w14:textId="78DE54E8" w:rsidR="0007420F" w:rsidRPr="001B7BE1" w:rsidRDefault="0007420F" w:rsidP="0007420F">
      <w:pPr>
        <w:rPr>
          <w:rFonts w:cs="Arial"/>
          <w:sz w:val="22"/>
          <w:szCs w:val="22"/>
        </w:rPr>
      </w:pPr>
      <w:r w:rsidRPr="001B7BE1">
        <w:rPr>
          <w:rFonts w:cs="Arial"/>
          <w:sz w:val="22"/>
          <w:szCs w:val="22"/>
        </w:rPr>
        <w:t xml:space="preserve">The Spatial Strategy states that new </w:t>
      </w:r>
      <w:r w:rsidRPr="001B7BE1">
        <w:rPr>
          <w:rFonts w:eastAsiaTheme="minorHAnsi" w:cs="Arial"/>
          <w:sz w:val="22"/>
          <w:szCs w:val="22"/>
        </w:rPr>
        <w:t xml:space="preserve">development will be directed towards previously developed land in the urban area of the Principal Town (Rickmansworth) which is identified as </w:t>
      </w:r>
      <w:r w:rsidRPr="001B7BE1">
        <w:rPr>
          <w:rFonts w:cs="Arial"/>
          <w:sz w:val="22"/>
          <w:szCs w:val="22"/>
        </w:rPr>
        <w:t>one of the most sustainable locations in the District. The site is not within a defined settlement (although adjoins the northern boundary of the Key Centre of Croxley Green) and is not previously developed land. The development would result in the net gain of up to 600 new dwellings. The Council cannot currently demonstrate a five-year supply of housing land as required by the NPPF and currently has a 1.</w:t>
      </w:r>
      <w:r>
        <w:rPr>
          <w:rFonts w:cs="Arial"/>
          <w:sz w:val="22"/>
          <w:szCs w:val="22"/>
        </w:rPr>
        <w:t>7</w:t>
      </w:r>
      <w:r w:rsidRPr="001B7BE1">
        <w:rPr>
          <w:rFonts w:cs="Arial"/>
          <w:sz w:val="22"/>
          <w:szCs w:val="22"/>
        </w:rPr>
        <w:t xml:space="preserve">-year housing land supply. The delivery of up to 600 dwellings would make a significant and positive contribution to much needed housing provision within the </w:t>
      </w:r>
      <w:r w:rsidR="00EB123B">
        <w:rPr>
          <w:rFonts w:cs="Arial"/>
          <w:sz w:val="22"/>
          <w:szCs w:val="22"/>
        </w:rPr>
        <w:t>D</w:t>
      </w:r>
      <w:r w:rsidRPr="001B7BE1">
        <w:rPr>
          <w:rFonts w:cs="Arial"/>
          <w:sz w:val="22"/>
          <w:szCs w:val="22"/>
        </w:rPr>
        <w:t xml:space="preserve">istrict. Additionally, there has been an undersupply of affordable housing within the </w:t>
      </w:r>
      <w:r w:rsidR="00EB123B">
        <w:rPr>
          <w:rFonts w:cs="Arial"/>
          <w:sz w:val="22"/>
          <w:szCs w:val="22"/>
        </w:rPr>
        <w:t>D</w:t>
      </w:r>
      <w:r w:rsidRPr="001B7BE1">
        <w:rPr>
          <w:rFonts w:cs="Arial"/>
          <w:sz w:val="22"/>
          <w:szCs w:val="22"/>
        </w:rPr>
        <w:t>istrict throughout the plan period and as such there is a pressing need for the delivery of affordable housing.</w:t>
      </w:r>
      <w:r>
        <w:rPr>
          <w:rFonts w:cs="Arial"/>
          <w:sz w:val="22"/>
          <w:szCs w:val="22"/>
        </w:rPr>
        <w:t xml:space="preserve"> The submitted planning statement sets out that </w:t>
      </w:r>
      <w:r w:rsidR="00EE4DCE">
        <w:rPr>
          <w:rFonts w:cs="Arial"/>
          <w:sz w:val="22"/>
          <w:szCs w:val="22"/>
        </w:rPr>
        <w:t xml:space="preserve">up to </w:t>
      </w:r>
      <w:r>
        <w:rPr>
          <w:rFonts w:cs="Arial"/>
          <w:sz w:val="22"/>
          <w:szCs w:val="22"/>
        </w:rPr>
        <w:t>50% of the dwellings would be affordable housing</w:t>
      </w:r>
      <w:r w:rsidR="00EB123B">
        <w:rPr>
          <w:rFonts w:cs="Arial"/>
          <w:sz w:val="22"/>
          <w:szCs w:val="22"/>
        </w:rPr>
        <w:t xml:space="preserve">, which </w:t>
      </w:r>
      <w:r w:rsidR="00EB123B" w:rsidRPr="001B7BE1">
        <w:rPr>
          <w:rFonts w:cs="Arial"/>
          <w:sz w:val="22"/>
          <w:szCs w:val="22"/>
        </w:rPr>
        <w:t>would make a significant and positive contribution</w:t>
      </w:r>
      <w:r w:rsidR="00EB123B">
        <w:rPr>
          <w:rFonts w:cs="Arial"/>
          <w:sz w:val="22"/>
          <w:szCs w:val="22"/>
        </w:rPr>
        <w:t xml:space="preserve"> to the affordable housing </w:t>
      </w:r>
      <w:r w:rsidR="00CA4990">
        <w:rPr>
          <w:rFonts w:cs="Arial"/>
          <w:sz w:val="22"/>
          <w:szCs w:val="22"/>
        </w:rPr>
        <w:t xml:space="preserve">need </w:t>
      </w:r>
      <w:r w:rsidR="00EB123B">
        <w:rPr>
          <w:rFonts w:cs="Arial"/>
          <w:sz w:val="22"/>
          <w:szCs w:val="22"/>
        </w:rPr>
        <w:t>within the District</w:t>
      </w:r>
      <w:r>
        <w:rPr>
          <w:rFonts w:cs="Arial"/>
          <w:sz w:val="22"/>
          <w:szCs w:val="22"/>
        </w:rPr>
        <w:t>.</w:t>
      </w:r>
    </w:p>
    <w:p w14:paraId="6C00944D" w14:textId="77777777" w:rsidR="007E08B0" w:rsidRPr="00EE4DCE" w:rsidRDefault="007E08B0" w:rsidP="0006369C">
      <w:pPr>
        <w:jc w:val="both"/>
        <w:rPr>
          <w:rFonts w:cs="Arial"/>
          <w:sz w:val="22"/>
          <w:szCs w:val="22"/>
        </w:rPr>
      </w:pPr>
    </w:p>
    <w:p w14:paraId="669281C8" w14:textId="63AB0855" w:rsidR="00CD0889" w:rsidRPr="00EE4DCE" w:rsidRDefault="007E08B0" w:rsidP="0006369C">
      <w:pPr>
        <w:jc w:val="both"/>
        <w:rPr>
          <w:rFonts w:cs="Arial"/>
          <w:sz w:val="22"/>
          <w:szCs w:val="22"/>
        </w:rPr>
      </w:pPr>
      <w:r w:rsidRPr="00EE4DCE">
        <w:rPr>
          <w:rFonts w:cs="Arial"/>
          <w:sz w:val="22"/>
          <w:szCs w:val="22"/>
        </w:rPr>
        <w:t xml:space="preserve">The application site is located in the Metropolitan Green Belt. </w:t>
      </w:r>
      <w:r w:rsidR="00E65C86" w:rsidRPr="00EE4DCE">
        <w:rPr>
          <w:rFonts w:cs="Arial"/>
          <w:sz w:val="22"/>
          <w:szCs w:val="22"/>
        </w:rPr>
        <w:t xml:space="preserve">Paragraph 153 of the NPPF states that inappropriate development is, by definition, harmful to the Green Belt and should not be approved except in very special circumstances. Paragraph 153 further sets out that very special circumstances will not exist unless the potential harm to the Green Belt by reason of inappropriateness, and any other harm resulting from the proposal, is clearly outweighed by other considerations. </w:t>
      </w:r>
      <w:r w:rsidR="00A135F9" w:rsidRPr="00EE4DCE">
        <w:rPr>
          <w:rFonts w:cs="Arial"/>
          <w:sz w:val="22"/>
          <w:szCs w:val="22"/>
        </w:rPr>
        <w:t>Paragraph 154 of the</w:t>
      </w:r>
      <w:r w:rsidRPr="00EE4DCE">
        <w:rPr>
          <w:rFonts w:cs="Arial"/>
          <w:sz w:val="22"/>
          <w:szCs w:val="22"/>
        </w:rPr>
        <w:t xml:space="preserve"> NPPF states that </w:t>
      </w:r>
      <w:r w:rsidR="00A135F9" w:rsidRPr="00EE4DCE">
        <w:rPr>
          <w:rFonts w:cs="Arial"/>
          <w:sz w:val="22"/>
          <w:szCs w:val="22"/>
        </w:rPr>
        <w:t xml:space="preserve">development </w:t>
      </w:r>
      <w:r w:rsidRPr="00EE4DCE">
        <w:rPr>
          <w:rFonts w:cs="Arial"/>
          <w:sz w:val="22"/>
          <w:szCs w:val="22"/>
        </w:rPr>
        <w:t xml:space="preserve">in the Green </w:t>
      </w:r>
      <w:r w:rsidRPr="00EE4DCE">
        <w:rPr>
          <w:rFonts w:cs="Arial"/>
          <w:sz w:val="22"/>
          <w:szCs w:val="22"/>
        </w:rPr>
        <w:lastRenderedPageBreak/>
        <w:t>Belt is inappropriate</w:t>
      </w:r>
      <w:r w:rsidR="00A135F9" w:rsidRPr="00EE4DCE">
        <w:rPr>
          <w:rFonts w:cs="Arial"/>
          <w:sz w:val="22"/>
          <w:szCs w:val="22"/>
        </w:rPr>
        <w:t xml:space="preserve"> unless certain exceptions apply</w:t>
      </w:r>
      <w:r w:rsidRPr="00EE4DCE">
        <w:rPr>
          <w:rFonts w:cs="Arial"/>
          <w:sz w:val="22"/>
          <w:szCs w:val="22"/>
        </w:rPr>
        <w:t>.</w:t>
      </w:r>
      <w:r w:rsidR="00CD0889" w:rsidRPr="00EE4DCE">
        <w:rPr>
          <w:rFonts w:cs="Arial"/>
          <w:sz w:val="22"/>
          <w:szCs w:val="22"/>
        </w:rPr>
        <w:t xml:space="preserve"> Paragraph 154 of the NPPF sets out the following exceptions to inappropriate development in the Green Belt:</w:t>
      </w:r>
    </w:p>
    <w:p w14:paraId="30FD5ADC" w14:textId="77777777" w:rsidR="00CD0889" w:rsidRPr="00EE4DCE" w:rsidRDefault="00CD0889" w:rsidP="0006369C">
      <w:pPr>
        <w:jc w:val="both"/>
        <w:rPr>
          <w:rFonts w:cs="Arial"/>
          <w:sz w:val="22"/>
          <w:szCs w:val="22"/>
        </w:rPr>
      </w:pPr>
    </w:p>
    <w:p w14:paraId="0C9853B9" w14:textId="4B3C123D" w:rsidR="00CD0889" w:rsidRPr="00EE4DCE" w:rsidRDefault="00CD0889" w:rsidP="0006369C">
      <w:pPr>
        <w:jc w:val="both"/>
        <w:rPr>
          <w:rFonts w:cs="Arial"/>
          <w:i/>
          <w:iCs/>
          <w:sz w:val="22"/>
          <w:szCs w:val="22"/>
        </w:rPr>
      </w:pPr>
      <w:r w:rsidRPr="00EE4DCE">
        <w:rPr>
          <w:rFonts w:cs="Arial"/>
          <w:i/>
          <w:iCs/>
          <w:sz w:val="22"/>
          <w:szCs w:val="22"/>
        </w:rPr>
        <w:t xml:space="preserve">a) buildings for agriculture and forestry; </w:t>
      </w:r>
    </w:p>
    <w:p w14:paraId="4133F5ED" w14:textId="77777777" w:rsidR="00CD0889" w:rsidRPr="00EE4DCE" w:rsidRDefault="00CD0889" w:rsidP="0006369C">
      <w:pPr>
        <w:jc w:val="both"/>
        <w:rPr>
          <w:rFonts w:cs="Arial"/>
          <w:i/>
          <w:iCs/>
          <w:sz w:val="22"/>
          <w:szCs w:val="22"/>
        </w:rPr>
      </w:pPr>
      <w:r w:rsidRPr="00EE4DCE">
        <w:rPr>
          <w:rFonts w:cs="Arial"/>
          <w:i/>
          <w:iCs/>
          <w:sz w:val="22"/>
          <w:szCs w:val="22"/>
        </w:rPr>
        <w:t xml:space="preserve">b) the provision of appropriate facilities (in connection with the existing use of land or a change of use), including buildings, for outdoor sport, outdoor recreation, cemeteries and burial grounds and allotments; as long as the facilities preserve the openness of the Green Belt and do not conflict with the purposes of including land within it; </w:t>
      </w:r>
    </w:p>
    <w:p w14:paraId="7F26726C" w14:textId="77777777" w:rsidR="00CD0889" w:rsidRPr="00EE4DCE" w:rsidRDefault="00CD0889" w:rsidP="0006369C">
      <w:pPr>
        <w:jc w:val="both"/>
        <w:rPr>
          <w:rFonts w:cs="Arial"/>
          <w:i/>
          <w:iCs/>
          <w:sz w:val="22"/>
          <w:szCs w:val="22"/>
        </w:rPr>
      </w:pPr>
    </w:p>
    <w:p w14:paraId="6D4A2301" w14:textId="4AD0A417" w:rsidR="00CD0889" w:rsidRPr="00EE4DCE" w:rsidRDefault="00CD0889" w:rsidP="0006369C">
      <w:pPr>
        <w:jc w:val="both"/>
        <w:rPr>
          <w:rFonts w:cs="Arial"/>
          <w:i/>
          <w:iCs/>
          <w:sz w:val="22"/>
          <w:szCs w:val="22"/>
        </w:rPr>
      </w:pPr>
      <w:r w:rsidRPr="00EE4DCE">
        <w:rPr>
          <w:rFonts w:cs="Arial"/>
          <w:i/>
          <w:iCs/>
          <w:sz w:val="22"/>
          <w:szCs w:val="22"/>
        </w:rPr>
        <w:t>c) the extension or alteration of a building provided that it does not result in disproportionate additions over and above the size of the original building;</w:t>
      </w:r>
    </w:p>
    <w:p w14:paraId="0C567A12" w14:textId="77777777" w:rsidR="00CD0889" w:rsidRPr="00EE4DCE" w:rsidRDefault="00CD0889" w:rsidP="0006369C">
      <w:pPr>
        <w:jc w:val="both"/>
        <w:rPr>
          <w:rFonts w:cs="Arial"/>
          <w:i/>
          <w:iCs/>
          <w:sz w:val="22"/>
          <w:szCs w:val="22"/>
        </w:rPr>
      </w:pPr>
    </w:p>
    <w:p w14:paraId="2EDCD115" w14:textId="77777777" w:rsidR="00CD0889" w:rsidRPr="00EE4DCE" w:rsidRDefault="00CD0889" w:rsidP="0006369C">
      <w:pPr>
        <w:jc w:val="both"/>
        <w:rPr>
          <w:rFonts w:cs="Arial"/>
          <w:i/>
          <w:iCs/>
          <w:sz w:val="22"/>
          <w:szCs w:val="22"/>
        </w:rPr>
      </w:pPr>
      <w:r w:rsidRPr="00EE4DCE">
        <w:rPr>
          <w:rFonts w:cs="Arial"/>
          <w:i/>
          <w:iCs/>
          <w:sz w:val="22"/>
          <w:szCs w:val="22"/>
        </w:rPr>
        <w:t xml:space="preserve">d) the replacement of a building, provided the new building is in the same use and not materially larger than the one it replaces; </w:t>
      </w:r>
    </w:p>
    <w:p w14:paraId="0F95535B" w14:textId="77777777" w:rsidR="00CD0889" w:rsidRPr="00EE4DCE" w:rsidRDefault="00CD0889" w:rsidP="0006369C">
      <w:pPr>
        <w:jc w:val="both"/>
        <w:rPr>
          <w:rFonts w:cs="Arial"/>
          <w:i/>
          <w:iCs/>
          <w:sz w:val="22"/>
          <w:szCs w:val="22"/>
        </w:rPr>
      </w:pPr>
    </w:p>
    <w:p w14:paraId="46182A21" w14:textId="77777777" w:rsidR="00CD0889" w:rsidRPr="00EE4DCE" w:rsidRDefault="00CD0889" w:rsidP="0006369C">
      <w:pPr>
        <w:jc w:val="both"/>
        <w:rPr>
          <w:rFonts w:cs="Arial"/>
          <w:i/>
          <w:iCs/>
          <w:sz w:val="22"/>
          <w:szCs w:val="22"/>
        </w:rPr>
      </w:pPr>
      <w:r w:rsidRPr="00EE4DCE">
        <w:rPr>
          <w:rFonts w:cs="Arial"/>
          <w:i/>
          <w:iCs/>
          <w:sz w:val="22"/>
          <w:szCs w:val="22"/>
        </w:rPr>
        <w:t xml:space="preserve">e) limited infilling in villages; </w:t>
      </w:r>
    </w:p>
    <w:p w14:paraId="49955D23" w14:textId="77777777" w:rsidR="00CD0889" w:rsidRPr="00EE4DCE" w:rsidRDefault="00CD0889" w:rsidP="0006369C">
      <w:pPr>
        <w:jc w:val="both"/>
        <w:rPr>
          <w:rFonts w:cs="Arial"/>
          <w:i/>
          <w:iCs/>
          <w:sz w:val="22"/>
          <w:szCs w:val="22"/>
        </w:rPr>
      </w:pPr>
    </w:p>
    <w:p w14:paraId="101F8BA8" w14:textId="706E2A06" w:rsidR="00CD0889" w:rsidRPr="00EE4DCE" w:rsidRDefault="00CD0889" w:rsidP="0006369C">
      <w:pPr>
        <w:jc w:val="both"/>
        <w:rPr>
          <w:rFonts w:cs="Arial"/>
          <w:i/>
          <w:iCs/>
          <w:sz w:val="22"/>
          <w:szCs w:val="22"/>
        </w:rPr>
      </w:pPr>
      <w:r w:rsidRPr="00EE4DCE">
        <w:rPr>
          <w:rFonts w:cs="Arial"/>
          <w:i/>
          <w:iCs/>
          <w:sz w:val="22"/>
          <w:szCs w:val="22"/>
        </w:rPr>
        <w:t xml:space="preserve">f) limited affordable housing for local community needs under policies set out in the development plan (including policies for rural exception sites); and </w:t>
      </w:r>
    </w:p>
    <w:p w14:paraId="3F8E5B01" w14:textId="77777777" w:rsidR="00CD0889" w:rsidRPr="00EE4DCE" w:rsidRDefault="00CD0889" w:rsidP="0006369C">
      <w:pPr>
        <w:jc w:val="both"/>
        <w:rPr>
          <w:rFonts w:cs="Arial"/>
          <w:i/>
          <w:iCs/>
          <w:sz w:val="22"/>
          <w:szCs w:val="22"/>
        </w:rPr>
      </w:pPr>
    </w:p>
    <w:p w14:paraId="76E78145" w14:textId="77777777" w:rsidR="00746F49" w:rsidRPr="00EE4DCE" w:rsidRDefault="00CD0889" w:rsidP="0006369C">
      <w:pPr>
        <w:jc w:val="both"/>
        <w:rPr>
          <w:rFonts w:cs="Arial"/>
          <w:i/>
          <w:iCs/>
          <w:sz w:val="22"/>
          <w:szCs w:val="22"/>
        </w:rPr>
      </w:pPr>
      <w:r w:rsidRPr="00EE4DCE">
        <w:rPr>
          <w:rFonts w:cs="Arial"/>
          <w:i/>
          <w:iCs/>
          <w:sz w:val="22"/>
          <w:szCs w:val="22"/>
        </w:rPr>
        <w:t xml:space="preserve">g) limited infilling or the partial or complete redevelopment of previously developed land (including a material change of use to residential or mixed use including residential), whether redundant or in continuing use (excluding temporary buildings), which would not cause substantial harm to the openness of the Green Belt. </w:t>
      </w:r>
    </w:p>
    <w:p w14:paraId="6DE4BF21" w14:textId="77777777" w:rsidR="00746F49" w:rsidRPr="00EE4DCE" w:rsidRDefault="00746F49" w:rsidP="0006369C">
      <w:pPr>
        <w:jc w:val="both"/>
        <w:rPr>
          <w:rFonts w:cs="Arial"/>
          <w:i/>
          <w:iCs/>
          <w:sz w:val="22"/>
          <w:szCs w:val="22"/>
        </w:rPr>
      </w:pPr>
    </w:p>
    <w:p w14:paraId="53BFB4AF" w14:textId="77777777" w:rsidR="00746F49" w:rsidRPr="00EE4DCE" w:rsidRDefault="00CD0889" w:rsidP="0006369C">
      <w:pPr>
        <w:jc w:val="both"/>
        <w:rPr>
          <w:rFonts w:cs="Arial"/>
          <w:i/>
          <w:iCs/>
          <w:sz w:val="22"/>
          <w:szCs w:val="22"/>
        </w:rPr>
      </w:pPr>
      <w:r w:rsidRPr="00EE4DCE">
        <w:rPr>
          <w:rFonts w:cs="Arial"/>
          <w:i/>
          <w:iCs/>
          <w:sz w:val="22"/>
          <w:szCs w:val="22"/>
        </w:rPr>
        <w:t>h) Other forms of development provided they preserve its openness and do not conflict with the purposes of including land within it. These are:</w:t>
      </w:r>
    </w:p>
    <w:p w14:paraId="6DDA0F3F" w14:textId="77777777" w:rsidR="00746F49" w:rsidRPr="00EE4DCE" w:rsidRDefault="00746F49" w:rsidP="0006369C">
      <w:pPr>
        <w:jc w:val="both"/>
        <w:rPr>
          <w:rFonts w:cs="Arial"/>
          <w:i/>
          <w:iCs/>
          <w:sz w:val="22"/>
          <w:szCs w:val="22"/>
        </w:rPr>
      </w:pPr>
    </w:p>
    <w:p w14:paraId="7305DECD" w14:textId="77777777" w:rsidR="00746F49" w:rsidRPr="00EE4DCE" w:rsidRDefault="00CD0889" w:rsidP="00746F49">
      <w:pPr>
        <w:pStyle w:val="ListParagraph"/>
        <w:numPr>
          <w:ilvl w:val="0"/>
          <w:numId w:val="11"/>
        </w:numPr>
        <w:jc w:val="both"/>
        <w:rPr>
          <w:rFonts w:cs="Arial"/>
          <w:i/>
          <w:iCs/>
          <w:sz w:val="22"/>
          <w:szCs w:val="22"/>
        </w:rPr>
      </w:pPr>
      <w:r w:rsidRPr="00EE4DCE">
        <w:rPr>
          <w:rFonts w:cs="Arial"/>
          <w:i/>
          <w:iCs/>
          <w:sz w:val="22"/>
          <w:szCs w:val="22"/>
        </w:rPr>
        <w:t xml:space="preserve">mineral extraction; </w:t>
      </w:r>
    </w:p>
    <w:p w14:paraId="368D6DEC" w14:textId="77777777" w:rsidR="00746F49" w:rsidRPr="00EE4DCE" w:rsidRDefault="00CD0889" w:rsidP="0006369C">
      <w:pPr>
        <w:pStyle w:val="ListParagraph"/>
        <w:numPr>
          <w:ilvl w:val="0"/>
          <w:numId w:val="11"/>
        </w:numPr>
        <w:jc w:val="both"/>
        <w:rPr>
          <w:rFonts w:cs="Arial"/>
          <w:i/>
          <w:iCs/>
          <w:sz w:val="22"/>
          <w:szCs w:val="22"/>
        </w:rPr>
      </w:pPr>
      <w:r w:rsidRPr="00EE4DCE">
        <w:rPr>
          <w:rFonts w:cs="Arial"/>
          <w:i/>
          <w:iCs/>
          <w:sz w:val="22"/>
          <w:szCs w:val="22"/>
        </w:rPr>
        <w:t xml:space="preserve"> engineering operations; </w:t>
      </w:r>
    </w:p>
    <w:p w14:paraId="5E1DCC84" w14:textId="77777777" w:rsidR="00746F49" w:rsidRPr="00EE4DCE" w:rsidRDefault="00CD0889" w:rsidP="0006369C">
      <w:pPr>
        <w:pStyle w:val="ListParagraph"/>
        <w:numPr>
          <w:ilvl w:val="0"/>
          <w:numId w:val="11"/>
        </w:numPr>
        <w:jc w:val="both"/>
        <w:rPr>
          <w:rFonts w:cs="Arial"/>
          <w:i/>
          <w:iCs/>
          <w:sz w:val="22"/>
          <w:szCs w:val="22"/>
        </w:rPr>
      </w:pPr>
      <w:r w:rsidRPr="00EE4DCE">
        <w:rPr>
          <w:rFonts w:cs="Arial"/>
          <w:i/>
          <w:iCs/>
          <w:sz w:val="22"/>
          <w:szCs w:val="22"/>
        </w:rPr>
        <w:t>local transport infrastructure which can demonstrate a requirement for a Green Belt location;</w:t>
      </w:r>
    </w:p>
    <w:p w14:paraId="3FAAE1F6" w14:textId="77777777" w:rsidR="00746F49" w:rsidRPr="00EE4DCE" w:rsidRDefault="00CD0889" w:rsidP="0006369C">
      <w:pPr>
        <w:pStyle w:val="ListParagraph"/>
        <w:numPr>
          <w:ilvl w:val="0"/>
          <w:numId w:val="11"/>
        </w:numPr>
        <w:jc w:val="both"/>
        <w:rPr>
          <w:rFonts w:cs="Arial"/>
          <w:i/>
          <w:iCs/>
          <w:sz w:val="22"/>
          <w:szCs w:val="22"/>
        </w:rPr>
      </w:pPr>
      <w:r w:rsidRPr="00EE4DCE">
        <w:rPr>
          <w:rFonts w:cs="Arial"/>
          <w:i/>
          <w:iCs/>
          <w:sz w:val="22"/>
          <w:szCs w:val="22"/>
        </w:rPr>
        <w:t xml:space="preserve">the re-use of buildings provided that the buildings are of permanent and substantial construction; </w:t>
      </w:r>
    </w:p>
    <w:p w14:paraId="16A49EFB" w14:textId="77777777" w:rsidR="00746F49" w:rsidRPr="00EE4DCE" w:rsidRDefault="00CD0889" w:rsidP="0006369C">
      <w:pPr>
        <w:pStyle w:val="ListParagraph"/>
        <w:numPr>
          <w:ilvl w:val="0"/>
          <w:numId w:val="11"/>
        </w:numPr>
        <w:jc w:val="both"/>
        <w:rPr>
          <w:rFonts w:cs="Arial"/>
          <w:i/>
          <w:iCs/>
          <w:sz w:val="22"/>
          <w:szCs w:val="22"/>
        </w:rPr>
      </w:pPr>
      <w:r w:rsidRPr="00EE4DCE">
        <w:rPr>
          <w:rFonts w:cs="Arial"/>
          <w:i/>
          <w:iCs/>
          <w:sz w:val="22"/>
          <w:szCs w:val="22"/>
        </w:rPr>
        <w:t xml:space="preserve">material changes in the use of land (such as changes of use for outdoor sport or recreation, or for cemeteries and burial grounds); and </w:t>
      </w:r>
    </w:p>
    <w:p w14:paraId="45E3F896" w14:textId="0B74B085" w:rsidR="00CD0889" w:rsidRPr="00EE4DCE" w:rsidRDefault="00CD0889" w:rsidP="0006369C">
      <w:pPr>
        <w:pStyle w:val="ListParagraph"/>
        <w:numPr>
          <w:ilvl w:val="0"/>
          <w:numId w:val="11"/>
        </w:numPr>
        <w:jc w:val="both"/>
        <w:rPr>
          <w:rFonts w:cs="Arial"/>
          <w:i/>
          <w:iCs/>
          <w:sz w:val="22"/>
          <w:szCs w:val="22"/>
        </w:rPr>
      </w:pPr>
      <w:r w:rsidRPr="00EE4DCE">
        <w:rPr>
          <w:rFonts w:cs="Arial"/>
          <w:i/>
          <w:iCs/>
          <w:sz w:val="22"/>
          <w:szCs w:val="22"/>
        </w:rPr>
        <w:t>development, including buildings, brought forward under a Community Right to Build Order or Neighbourhood Development Order.</w:t>
      </w:r>
    </w:p>
    <w:p w14:paraId="2A8BB105" w14:textId="77777777" w:rsidR="00746F49" w:rsidRPr="00EE4DCE" w:rsidRDefault="00746F49" w:rsidP="00746F49">
      <w:pPr>
        <w:jc w:val="both"/>
        <w:rPr>
          <w:rFonts w:cs="Arial"/>
          <w:sz w:val="22"/>
          <w:szCs w:val="22"/>
        </w:rPr>
      </w:pPr>
    </w:p>
    <w:p w14:paraId="7D5C102B" w14:textId="74C83B68" w:rsidR="00746F49" w:rsidRPr="00EE4DCE" w:rsidRDefault="00746F49" w:rsidP="00746F49">
      <w:pPr>
        <w:jc w:val="both"/>
        <w:rPr>
          <w:rFonts w:cs="Arial"/>
          <w:sz w:val="22"/>
          <w:szCs w:val="22"/>
        </w:rPr>
      </w:pPr>
      <w:r w:rsidRPr="00EE4DCE">
        <w:rPr>
          <w:rFonts w:cs="Arial"/>
          <w:sz w:val="22"/>
          <w:szCs w:val="22"/>
        </w:rPr>
        <w:t>Additionally, paragraph 155 of the NPPF sets out that the development of homes, commercial and other development in the Green Belt should also not be regarded as inappropriate where</w:t>
      </w:r>
      <w:r w:rsidR="00B10CB2">
        <w:rPr>
          <w:rFonts w:cs="Arial"/>
          <w:sz w:val="22"/>
          <w:szCs w:val="22"/>
        </w:rPr>
        <w:t xml:space="preserve"> all the following apply</w:t>
      </w:r>
      <w:r w:rsidRPr="00EE4DCE">
        <w:rPr>
          <w:rFonts w:cs="Arial"/>
          <w:sz w:val="22"/>
          <w:szCs w:val="22"/>
        </w:rPr>
        <w:t>:</w:t>
      </w:r>
    </w:p>
    <w:p w14:paraId="3B5B56B1" w14:textId="77777777" w:rsidR="00746F49" w:rsidRPr="00EE4DCE" w:rsidRDefault="00746F49" w:rsidP="00746F49">
      <w:pPr>
        <w:jc w:val="both"/>
        <w:rPr>
          <w:rFonts w:cs="Arial"/>
          <w:sz w:val="22"/>
          <w:szCs w:val="22"/>
        </w:rPr>
      </w:pPr>
    </w:p>
    <w:p w14:paraId="64F34CBC" w14:textId="77777777" w:rsidR="00746F49" w:rsidRPr="00EE4DCE" w:rsidRDefault="00746F49" w:rsidP="00746F49">
      <w:pPr>
        <w:pStyle w:val="ListParagraph"/>
        <w:numPr>
          <w:ilvl w:val="0"/>
          <w:numId w:val="12"/>
        </w:numPr>
        <w:jc w:val="both"/>
        <w:rPr>
          <w:rFonts w:cs="Arial"/>
          <w:i/>
          <w:iCs/>
          <w:sz w:val="22"/>
          <w:szCs w:val="22"/>
        </w:rPr>
      </w:pPr>
      <w:r w:rsidRPr="00EE4DCE">
        <w:rPr>
          <w:rFonts w:cs="Arial"/>
          <w:i/>
          <w:iCs/>
          <w:sz w:val="22"/>
          <w:szCs w:val="22"/>
        </w:rPr>
        <w:t>The development would utilise grey belt land and would not fundamentally undermine the purposes (taken together) of the remaining Green Belt across the area of the plan;</w:t>
      </w:r>
    </w:p>
    <w:p w14:paraId="64E638A1" w14:textId="37878482" w:rsidR="00746F49" w:rsidRPr="00EE4DCE" w:rsidRDefault="00746F49" w:rsidP="00746F49">
      <w:pPr>
        <w:pStyle w:val="ListParagraph"/>
        <w:jc w:val="both"/>
        <w:rPr>
          <w:rFonts w:cs="Arial"/>
          <w:i/>
          <w:iCs/>
          <w:sz w:val="22"/>
          <w:szCs w:val="22"/>
        </w:rPr>
      </w:pPr>
      <w:r w:rsidRPr="00EE4DCE">
        <w:rPr>
          <w:rFonts w:cs="Arial"/>
          <w:i/>
          <w:iCs/>
          <w:sz w:val="22"/>
          <w:szCs w:val="22"/>
        </w:rPr>
        <w:t xml:space="preserve"> </w:t>
      </w:r>
    </w:p>
    <w:p w14:paraId="525FE428" w14:textId="35180854" w:rsidR="00746F49" w:rsidRPr="00EE4DCE" w:rsidRDefault="00746F49" w:rsidP="00746F49">
      <w:pPr>
        <w:pStyle w:val="ListParagraph"/>
        <w:numPr>
          <w:ilvl w:val="0"/>
          <w:numId w:val="12"/>
        </w:numPr>
        <w:jc w:val="both"/>
        <w:rPr>
          <w:rFonts w:cs="Arial"/>
          <w:i/>
          <w:iCs/>
          <w:sz w:val="22"/>
          <w:szCs w:val="22"/>
        </w:rPr>
      </w:pPr>
      <w:r w:rsidRPr="00EE4DCE">
        <w:rPr>
          <w:rFonts w:cs="Arial"/>
          <w:i/>
          <w:iCs/>
          <w:sz w:val="22"/>
          <w:szCs w:val="22"/>
        </w:rPr>
        <w:t xml:space="preserve">There is a demonstrable unmet need for the type of development proposed; </w:t>
      </w:r>
    </w:p>
    <w:p w14:paraId="43C0C28D" w14:textId="77777777" w:rsidR="00746F49" w:rsidRPr="00EE4DCE" w:rsidRDefault="00746F49" w:rsidP="00746F49">
      <w:pPr>
        <w:pStyle w:val="ListParagraph"/>
        <w:rPr>
          <w:rFonts w:cs="Arial"/>
          <w:i/>
          <w:iCs/>
          <w:sz w:val="22"/>
          <w:szCs w:val="22"/>
        </w:rPr>
      </w:pPr>
    </w:p>
    <w:p w14:paraId="028A0BA0" w14:textId="1F0F149F" w:rsidR="00746F49" w:rsidRPr="00EE4DCE" w:rsidRDefault="00746F49" w:rsidP="00746F49">
      <w:pPr>
        <w:pStyle w:val="ListParagraph"/>
        <w:numPr>
          <w:ilvl w:val="0"/>
          <w:numId w:val="12"/>
        </w:numPr>
        <w:jc w:val="both"/>
        <w:rPr>
          <w:rFonts w:cs="Arial"/>
          <w:i/>
          <w:iCs/>
          <w:sz w:val="22"/>
          <w:szCs w:val="22"/>
        </w:rPr>
      </w:pPr>
      <w:r w:rsidRPr="00EE4DCE">
        <w:rPr>
          <w:rFonts w:cs="Arial"/>
          <w:i/>
          <w:iCs/>
          <w:sz w:val="22"/>
          <w:szCs w:val="22"/>
        </w:rPr>
        <w:t>The development would be in a sustainable location, with particular reference to paragraphs 110 and 115 of this Framework; and</w:t>
      </w:r>
    </w:p>
    <w:p w14:paraId="5440265F" w14:textId="77777777" w:rsidR="00746F49" w:rsidRPr="00EE4DCE" w:rsidRDefault="00746F49" w:rsidP="00746F49">
      <w:pPr>
        <w:pStyle w:val="ListParagraph"/>
        <w:rPr>
          <w:rFonts w:cs="Arial"/>
          <w:i/>
          <w:iCs/>
          <w:sz w:val="22"/>
          <w:szCs w:val="22"/>
        </w:rPr>
      </w:pPr>
    </w:p>
    <w:p w14:paraId="571ED0E1" w14:textId="2DDEAFBC" w:rsidR="00746F49" w:rsidRPr="00EE4DCE" w:rsidRDefault="00746F49" w:rsidP="00746F49">
      <w:pPr>
        <w:pStyle w:val="ListParagraph"/>
        <w:numPr>
          <w:ilvl w:val="0"/>
          <w:numId w:val="12"/>
        </w:numPr>
        <w:jc w:val="both"/>
        <w:rPr>
          <w:rFonts w:cs="Arial"/>
          <w:i/>
          <w:iCs/>
          <w:sz w:val="22"/>
          <w:szCs w:val="22"/>
        </w:rPr>
      </w:pPr>
      <w:r w:rsidRPr="00EE4DCE">
        <w:rPr>
          <w:rFonts w:cs="Arial"/>
          <w:i/>
          <w:iCs/>
          <w:sz w:val="22"/>
          <w:szCs w:val="22"/>
        </w:rPr>
        <w:lastRenderedPageBreak/>
        <w:t>Where applicable the development proposed meets the ‘Golden Rules’ requirements set out in paragraphs 156-157</w:t>
      </w:r>
    </w:p>
    <w:p w14:paraId="084384CF" w14:textId="77777777" w:rsidR="00CD0889" w:rsidRPr="00EE4DCE" w:rsidRDefault="00CD0889" w:rsidP="0006369C">
      <w:pPr>
        <w:jc w:val="both"/>
        <w:rPr>
          <w:rFonts w:cs="Arial"/>
          <w:sz w:val="22"/>
          <w:szCs w:val="22"/>
        </w:rPr>
      </w:pPr>
    </w:p>
    <w:p w14:paraId="493C759B" w14:textId="77777777" w:rsidR="00CD0889" w:rsidRPr="00EE4DCE" w:rsidRDefault="00CD0889" w:rsidP="0006369C">
      <w:pPr>
        <w:jc w:val="both"/>
        <w:rPr>
          <w:rFonts w:cs="Arial"/>
          <w:sz w:val="22"/>
          <w:szCs w:val="22"/>
        </w:rPr>
      </w:pPr>
    </w:p>
    <w:p w14:paraId="6D4633DF" w14:textId="214AAF86" w:rsidR="007E08B0" w:rsidRPr="00EE4DCE" w:rsidRDefault="007E08B0" w:rsidP="0006369C">
      <w:pPr>
        <w:jc w:val="both"/>
        <w:rPr>
          <w:rFonts w:cs="Arial"/>
          <w:sz w:val="22"/>
          <w:szCs w:val="22"/>
        </w:rPr>
      </w:pPr>
      <w:r w:rsidRPr="00EE4DCE">
        <w:rPr>
          <w:rFonts w:cs="Arial"/>
          <w:sz w:val="22"/>
          <w:szCs w:val="22"/>
        </w:rPr>
        <w:t>Policy CP11 of the Core Strategy states that ‘there will be general presumption against inappropriate development th</w:t>
      </w:r>
      <w:r w:rsidR="00F4631B" w:rsidRPr="00EE4DCE">
        <w:rPr>
          <w:rFonts w:cs="Arial"/>
          <w:sz w:val="22"/>
          <w:szCs w:val="22"/>
        </w:rPr>
        <w:t>at</w:t>
      </w:r>
      <w:r w:rsidRPr="00EE4DCE">
        <w:rPr>
          <w:rFonts w:cs="Arial"/>
          <w:sz w:val="22"/>
          <w:szCs w:val="22"/>
        </w:rPr>
        <w:t xml:space="preserve"> would not preserve the openness of the Green Belt, or which would conflict </w:t>
      </w:r>
      <w:r w:rsidR="00F4631B" w:rsidRPr="00EE4DCE">
        <w:rPr>
          <w:rFonts w:cs="Arial"/>
          <w:sz w:val="22"/>
          <w:szCs w:val="22"/>
        </w:rPr>
        <w:t xml:space="preserve">with the purpose of including land within it’. </w:t>
      </w:r>
    </w:p>
    <w:p w14:paraId="6B17D32D" w14:textId="77777777" w:rsidR="009C3FAB" w:rsidRPr="00D550AD" w:rsidRDefault="009C3FAB" w:rsidP="0006369C">
      <w:pPr>
        <w:jc w:val="both"/>
        <w:rPr>
          <w:rFonts w:cs="Arial"/>
          <w:color w:val="0070C0"/>
          <w:sz w:val="22"/>
          <w:szCs w:val="22"/>
        </w:rPr>
      </w:pPr>
    </w:p>
    <w:p w14:paraId="2430901A" w14:textId="7A6A94F3" w:rsidR="00B31E2F" w:rsidRPr="0074292F" w:rsidRDefault="009C3FAB" w:rsidP="00B31E2F">
      <w:pPr>
        <w:jc w:val="both"/>
        <w:rPr>
          <w:rFonts w:cs="Arial"/>
          <w:sz w:val="22"/>
          <w:szCs w:val="22"/>
        </w:rPr>
      </w:pPr>
      <w:r w:rsidRPr="0074292F">
        <w:rPr>
          <w:rFonts w:cs="Arial"/>
          <w:sz w:val="22"/>
          <w:szCs w:val="22"/>
        </w:rPr>
        <w:t xml:space="preserve">Policy CP3 of the Core Strategy states that the Council will require housing proposals to take into account the range of housing needs, in terms of size and type of dwellings as identified by the Strategic Housing Market Assessment (SHMA). </w:t>
      </w:r>
      <w:r w:rsidR="00B31E2F" w:rsidRPr="0074292F">
        <w:rPr>
          <w:rFonts w:cs="Arial"/>
          <w:sz w:val="22"/>
          <w:szCs w:val="22"/>
        </w:rPr>
        <w:t>The</w:t>
      </w:r>
      <w:r w:rsidR="0074292F" w:rsidRPr="0074292F">
        <w:rPr>
          <w:rFonts w:cs="Arial"/>
          <w:sz w:val="22"/>
          <w:szCs w:val="22"/>
        </w:rPr>
        <w:t xml:space="preserve"> most recent version of the</w:t>
      </w:r>
      <w:r w:rsidR="00B31E2F" w:rsidRPr="0074292F">
        <w:rPr>
          <w:rFonts w:cs="Arial"/>
          <w:sz w:val="22"/>
          <w:szCs w:val="22"/>
        </w:rPr>
        <w:t xml:space="preserve"> Local Housing Needs Assessment (LNHA) was finalised in 202</w:t>
      </w:r>
      <w:r w:rsidR="0074292F" w:rsidRPr="0074292F">
        <w:rPr>
          <w:rFonts w:cs="Arial"/>
          <w:sz w:val="22"/>
          <w:szCs w:val="22"/>
        </w:rPr>
        <w:t xml:space="preserve">4 </w:t>
      </w:r>
      <w:r w:rsidR="00B31E2F" w:rsidRPr="0074292F">
        <w:rPr>
          <w:rFonts w:cs="Arial"/>
          <w:sz w:val="22"/>
          <w:szCs w:val="22"/>
        </w:rPr>
        <w:t xml:space="preserve">and is the most recent update to the SHMA. The recommended mix for </w:t>
      </w:r>
      <w:r w:rsidR="0074292F" w:rsidRPr="0074292F">
        <w:rPr>
          <w:rFonts w:cs="Arial"/>
          <w:sz w:val="22"/>
          <w:szCs w:val="22"/>
        </w:rPr>
        <w:t xml:space="preserve">Three Rivers in terms of </w:t>
      </w:r>
      <w:r w:rsidR="00B31E2F" w:rsidRPr="0074292F">
        <w:rPr>
          <w:rFonts w:cs="Arial"/>
          <w:sz w:val="22"/>
          <w:szCs w:val="22"/>
        </w:rPr>
        <w:t xml:space="preserve">market housing, affordable home ownership and social/affordable rented housing identified in the LNHA is shown below: </w:t>
      </w:r>
    </w:p>
    <w:p w14:paraId="739F2BDA" w14:textId="77777777" w:rsidR="00B31E2F" w:rsidRPr="0074292F" w:rsidRDefault="00B31E2F" w:rsidP="00B31E2F">
      <w:pPr>
        <w:jc w:val="both"/>
        <w:rPr>
          <w:rFonts w:cs="Arial"/>
          <w:sz w:val="22"/>
          <w:szCs w:val="22"/>
        </w:rPr>
      </w:pPr>
    </w:p>
    <w:p w14:paraId="21A4D58B" w14:textId="77777777" w:rsidR="00B31E2F" w:rsidRPr="0074292F" w:rsidRDefault="00B31E2F" w:rsidP="00B31E2F">
      <w:pPr>
        <w:jc w:val="both"/>
        <w:rPr>
          <w:rFonts w:cs="Arial"/>
          <w:sz w:val="22"/>
          <w:szCs w:val="22"/>
        </w:rPr>
      </w:pPr>
    </w:p>
    <w:tbl>
      <w:tblPr>
        <w:tblStyle w:val="TableGrid"/>
        <w:tblW w:w="0" w:type="auto"/>
        <w:jc w:val="center"/>
        <w:tblLook w:val="04A0" w:firstRow="1" w:lastRow="0" w:firstColumn="1" w:lastColumn="0" w:noHBand="0" w:noVBand="1"/>
      </w:tblPr>
      <w:tblGrid>
        <w:gridCol w:w="3638"/>
        <w:gridCol w:w="896"/>
        <w:gridCol w:w="897"/>
        <w:gridCol w:w="897"/>
        <w:gridCol w:w="897"/>
      </w:tblGrid>
      <w:tr w:rsidR="0074292F" w:rsidRPr="0074292F" w14:paraId="2C2C1746" w14:textId="77777777" w:rsidTr="00572D12">
        <w:trPr>
          <w:trHeight w:val="190"/>
          <w:jc w:val="center"/>
        </w:trPr>
        <w:tc>
          <w:tcPr>
            <w:tcW w:w="3638" w:type="dxa"/>
            <w:vAlign w:val="center"/>
          </w:tcPr>
          <w:p w14:paraId="7614F6EE" w14:textId="77777777" w:rsidR="00B31E2F" w:rsidRPr="0074292F" w:rsidRDefault="00B31E2F" w:rsidP="00572D12">
            <w:pPr>
              <w:spacing w:line="276" w:lineRule="auto"/>
              <w:rPr>
                <w:b/>
                <w:sz w:val="20"/>
              </w:rPr>
            </w:pPr>
          </w:p>
        </w:tc>
        <w:tc>
          <w:tcPr>
            <w:tcW w:w="896" w:type="dxa"/>
            <w:vAlign w:val="center"/>
          </w:tcPr>
          <w:p w14:paraId="1D51FF3A" w14:textId="77777777" w:rsidR="00B31E2F" w:rsidRPr="0074292F" w:rsidRDefault="00B31E2F" w:rsidP="00572D12">
            <w:pPr>
              <w:spacing w:line="276" w:lineRule="auto"/>
              <w:rPr>
                <w:b/>
                <w:sz w:val="20"/>
              </w:rPr>
            </w:pPr>
            <w:r w:rsidRPr="0074292F">
              <w:rPr>
                <w:b/>
                <w:sz w:val="20"/>
              </w:rPr>
              <w:t>1-bed</w:t>
            </w:r>
          </w:p>
        </w:tc>
        <w:tc>
          <w:tcPr>
            <w:tcW w:w="897" w:type="dxa"/>
            <w:vAlign w:val="center"/>
          </w:tcPr>
          <w:p w14:paraId="6DB903CC" w14:textId="77777777" w:rsidR="00B31E2F" w:rsidRPr="0074292F" w:rsidRDefault="00B31E2F" w:rsidP="00572D12">
            <w:pPr>
              <w:spacing w:line="276" w:lineRule="auto"/>
              <w:rPr>
                <w:b/>
                <w:sz w:val="20"/>
              </w:rPr>
            </w:pPr>
            <w:r w:rsidRPr="0074292F">
              <w:rPr>
                <w:b/>
                <w:sz w:val="20"/>
              </w:rPr>
              <w:t>2-bed</w:t>
            </w:r>
          </w:p>
        </w:tc>
        <w:tc>
          <w:tcPr>
            <w:tcW w:w="897" w:type="dxa"/>
            <w:vAlign w:val="center"/>
          </w:tcPr>
          <w:p w14:paraId="6DD39DFF" w14:textId="77777777" w:rsidR="00B31E2F" w:rsidRPr="0074292F" w:rsidRDefault="00B31E2F" w:rsidP="00572D12">
            <w:pPr>
              <w:spacing w:line="276" w:lineRule="auto"/>
              <w:rPr>
                <w:b/>
                <w:sz w:val="20"/>
              </w:rPr>
            </w:pPr>
            <w:r w:rsidRPr="0074292F">
              <w:rPr>
                <w:b/>
                <w:sz w:val="20"/>
              </w:rPr>
              <w:t>3-bed</w:t>
            </w:r>
          </w:p>
        </w:tc>
        <w:tc>
          <w:tcPr>
            <w:tcW w:w="897" w:type="dxa"/>
            <w:vAlign w:val="center"/>
          </w:tcPr>
          <w:p w14:paraId="6A612743" w14:textId="77777777" w:rsidR="00B31E2F" w:rsidRPr="0074292F" w:rsidRDefault="00B31E2F" w:rsidP="00572D12">
            <w:pPr>
              <w:spacing w:line="276" w:lineRule="auto"/>
              <w:rPr>
                <w:b/>
                <w:sz w:val="20"/>
              </w:rPr>
            </w:pPr>
            <w:r w:rsidRPr="0074292F">
              <w:rPr>
                <w:b/>
                <w:sz w:val="20"/>
              </w:rPr>
              <w:t>4+ bed</w:t>
            </w:r>
          </w:p>
        </w:tc>
      </w:tr>
      <w:tr w:rsidR="0074292F" w:rsidRPr="0074292F" w14:paraId="401CF46C" w14:textId="77777777" w:rsidTr="00572D12">
        <w:trPr>
          <w:trHeight w:val="388"/>
          <w:jc w:val="center"/>
        </w:trPr>
        <w:tc>
          <w:tcPr>
            <w:tcW w:w="3638" w:type="dxa"/>
            <w:vAlign w:val="center"/>
          </w:tcPr>
          <w:p w14:paraId="32859B6B" w14:textId="77777777" w:rsidR="00B31E2F" w:rsidRPr="0074292F" w:rsidRDefault="00B31E2F" w:rsidP="00572D12">
            <w:pPr>
              <w:spacing w:line="276" w:lineRule="auto"/>
              <w:rPr>
                <w:b/>
                <w:sz w:val="20"/>
              </w:rPr>
            </w:pPr>
            <w:r w:rsidRPr="0074292F">
              <w:rPr>
                <w:b/>
                <w:sz w:val="20"/>
              </w:rPr>
              <w:t>Market Housing</w:t>
            </w:r>
          </w:p>
        </w:tc>
        <w:tc>
          <w:tcPr>
            <w:tcW w:w="896" w:type="dxa"/>
            <w:vAlign w:val="center"/>
          </w:tcPr>
          <w:p w14:paraId="4AA81A2F" w14:textId="6A226A6E" w:rsidR="00B31E2F" w:rsidRPr="0074292F" w:rsidRDefault="0074292F" w:rsidP="00572D12">
            <w:pPr>
              <w:spacing w:line="276" w:lineRule="auto"/>
              <w:rPr>
                <w:sz w:val="20"/>
              </w:rPr>
            </w:pPr>
            <w:r w:rsidRPr="0074292F">
              <w:rPr>
                <w:sz w:val="20"/>
              </w:rPr>
              <w:t>4</w:t>
            </w:r>
            <w:r w:rsidR="00B31E2F" w:rsidRPr="0074292F">
              <w:rPr>
                <w:sz w:val="20"/>
              </w:rPr>
              <w:t>%</w:t>
            </w:r>
          </w:p>
        </w:tc>
        <w:tc>
          <w:tcPr>
            <w:tcW w:w="897" w:type="dxa"/>
            <w:vAlign w:val="center"/>
          </w:tcPr>
          <w:p w14:paraId="2E014D66" w14:textId="2CFAC671" w:rsidR="00B31E2F" w:rsidRPr="0074292F" w:rsidRDefault="0074292F" w:rsidP="00572D12">
            <w:pPr>
              <w:spacing w:line="276" w:lineRule="auto"/>
              <w:rPr>
                <w:sz w:val="20"/>
              </w:rPr>
            </w:pPr>
            <w:r w:rsidRPr="0074292F">
              <w:rPr>
                <w:sz w:val="20"/>
              </w:rPr>
              <w:t>21</w:t>
            </w:r>
            <w:r w:rsidR="00B31E2F" w:rsidRPr="0074292F">
              <w:rPr>
                <w:sz w:val="20"/>
              </w:rPr>
              <w:t>%</w:t>
            </w:r>
          </w:p>
        </w:tc>
        <w:tc>
          <w:tcPr>
            <w:tcW w:w="897" w:type="dxa"/>
            <w:vAlign w:val="center"/>
          </w:tcPr>
          <w:p w14:paraId="0303111C" w14:textId="284DC577" w:rsidR="00B31E2F" w:rsidRPr="0074292F" w:rsidRDefault="0074292F" w:rsidP="00572D12">
            <w:pPr>
              <w:spacing w:line="276" w:lineRule="auto"/>
              <w:rPr>
                <w:sz w:val="20"/>
              </w:rPr>
            </w:pPr>
            <w:r w:rsidRPr="0074292F">
              <w:rPr>
                <w:sz w:val="20"/>
              </w:rPr>
              <w:t>42</w:t>
            </w:r>
            <w:r w:rsidR="00B31E2F" w:rsidRPr="0074292F">
              <w:rPr>
                <w:sz w:val="20"/>
              </w:rPr>
              <w:t>%</w:t>
            </w:r>
          </w:p>
        </w:tc>
        <w:tc>
          <w:tcPr>
            <w:tcW w:w="897" w:type="dxa"/>
            <w:vAlign w:val="center"/>
          </w:tcPr>
          <w:p w14:paraId="27B4047D" w14:textId="793AB7A3" w:rsidR="00B31E2F" w:rsidRPr="0074292F" w:rsidRDefault="00B31E2F" w:rsidP="00572D12">
            <w:pPr>
              <w:spacing w:line="276" w:lineRule="auto"/>
              <w:rPr>
                <w:sz w:val="20"/>
              </w:rPr>
            </w:pPr>
            <w:r w:rsidRPr="0074292F">
              <w:rPr>
                <w:sz w:val="20"/>
              </w:rPr>
              <w:t>3</w:t>
            </w:r>
            <w:r w:rsidR="0074292F" w:rsidRPr="0074292F">
              <w:rPr>
                <w:sz w:val="20"/>
              </w:rPr>
              <w:t>2</w:t>
            </w:r>
            <w:r w:rsidRPr="0074292F">
              <w:rPr>
                <w:sz w:val="20"/>
              </w:rPr>
              <w:t>%</w:t>
            </w:r>
          </w:p>
        </w:tc>
      </w:tr>
      <w:tr w:rsidR="0074292F" w:rsidRPr="0074292F" w14:paraId="7E8680D5" w14:textId="77777777" w:rsidTr="00572D12">
        <w:trPr>
          <w:trHeight w:val="388"/>
          <w:jc w:val="center"/>
        </w:trPr>
        <w:tc>
          <w:tcPr>
            <w:tcW w:w="3638" w:type="dxa"/>
            <w:vAlign w:val="center"/>
          </w:tcPr>
          <w:p w14:paraId="31D9A8E1" w14:textId="77777777" w:rsidR="00B31E2F" w:rsidRPr="0074292F" w:rsidRDefault="00B31E2F" w:rsidP="00572D12">
            <w:pPr>
              <w:spacing w:line="276" w:lineRule="auto"/>
              <w:rPr>
                <w:b/>
                <w:sz w:val="20"/>
              </w:rPr>
            </w:pPr>
            <w:r w:rsidRPr="0074292F">
              <w:rPr>
                <w:b/>
                <w:sz w:val="20"/>
              </w:rPr>
              <w:t>Affordable Home Ownership</w:t>
            </w:r>
          </w:p>
        </w:tc>
        <w:tc>
          <w:tcPr>
            <w:tcW w:w="896" w:type="dxa"/>
            <w:vAlign w:val="center"/>
          </w:tcPr>
          <w:p w14:paraId="06308AD2" w14:textId="3316209D" w:rsidR="00B31E2F" w:rsidRPr="0074292F" w:rsidRDefault="0074292F" w:rsidP="00572D12">
            <w:pPr>
              <w:spacing w:line="276" w:lineRule="auto"/>
              <w:rPr>
                <w:sz w:val="20"/>
              </w:rPr>
            </w:pPr>
            <w:r w:rsidRPr="0074292F">
              <w:rPr>
                <w:sz w:val="20"/>
              </w:rPr>
              <w:t>19</w:t>
            </w:r>
            <w:r w:rsidR="00B31E2F" w:rsidRPr="0074292F">
              <w:rPr>
                <w:sz w:val="20"/>
              </w:rPr>
              <w:t>%</w:t>
            </w:r>
          </w:p>
        </w:tc>
        <w:tc>
          <w:tcPr>
            <w:tcW w:w="897" w:type="dxa"/>
            <w:vAlign w:val="center"/>
          </w:tcPr>
          <w:p w14:paraId="0F4A4DEB" w14:textId="3C44781F" w:rsidR="00B31E2F" w:rsidRPr="0074292F" w:rsidRDefault="0074292F" w:rsidP="00572D12">
            <w:pPr>
              <w:spacing w:line="276" w:lineRule="auto"/>
              <w:rPr>
                <w:sz w:val="20"/>
              </w:rPr>
            </w:pPr>
            <w:r w:rsidRPr="0074292F">
              <w:rPr>
                <w:sz w:val="20"/>
              </w:rPr>
              <w:t>39</w:t>
            </w:r>
            <w:r w:rsidR="00B31E2F" w:rsidRPr="0074292F">
              <w:rPr>
                <w:sz w:val="20"/>
              </w:rPr>
              <w:t>%</w:t>
            </w:r>
          </w:p>
        </w:tc>
        <w:tc>
          <w:tcPr>
            <w:tcW w:w="897" w:type="dxa"/>
            <w:vAlign w:val="center"/>
          </w:tcPr>
          <w:p w14:paraId="309BE99E" w14:textId="03F79AC3" w:rsidR="00B31E2F" w:rsidRPr="0074292F" w:rsidRDefault="0074292F" w:rsidP="00572D12">
            <w:pPr>
              <w:spacing w:line="276" w:lineRule="auto"/>
              <w:rPr>
                <w:sz w:val="20"/>
              </w:rPr>
            </w:pPr>
            <w:r w:rsidRPr="0074292F">
              <w:rPr>
                <w:sz w:val="20"/>
              </w:rPr>
              <w:t>30</w:t>
            </w:r>
            <w:r w:rsidR="00B31E2F" w:rsidRPr="0074292F">
              <w:rPr>
                <w:sz w:val="20"/>
              </w:rPr>
              <w:t>%</w:t>
            </w:r>
          </w:p>
        </w:tc>
        <w:tc>
          <w:tcPr>
            <w:tcW w:w="897" w:type="dxa"/>
            <w:vAlign w:val="center"/>
          </w:tcPr>
          <w:p w14:paraId="685E238B" w14:textId="436F2C38" w:rsidR="00B31E2F" w:rsidRPr="0074292F" w:rsidRDefault="0074292F" w:rsidP="00572D12">
            <w:pPr>
              <w:spacing w:line="276" w:lineRule="auto"/>
              <w:rPr>
                <w:sz w:val="20"/>
              </w:rPr>
            </w:pPr>
            <w:r w:rsidRPr="0074292F">
              <w:rPr>
                <w:sz w:val="20"/>
              </w:rPr>
              <w:t>13</w:t>
            </w:r>
            <w:r w:rsidR="00B31E2F" w:rsidRPr="0074292F">
              <w:rPr>
                <w:sz w:val="20"/>
              </w:rPr>
              <w:t>%</w:t>
            </w:r>
          </w:p>
        </w:tc>
      </w:tr>
      <w:tr w:rsidR="0074292F" w:rsidRPr="0074292F" w14:paraId="60571DB2" w14:textId="77777777" w:rsidTr="00572D12">
        <w:trPr>
          <w:trHeight w:val="388"/>
          <w:jc w:val="center"/>
        </w:trPr>
        <w:tc>
          <w:tcPr>
            <w:tcW w:w="3638" w:type="dxa"/>
            <w:vAlign w:val="center"/>
          </w:tcPr>
          <w:p w14:paraId="09095675" w14:textId="77777777" w:rsidR="00B31E2F" w:rsidRPr="0074292F" w:rsidRDefault="00B31E2F" w:rsidP="00572D12">
            <w:pPr>
              <w:spacing w:line="276" w:lineRule="auto"/>
              <w:rPr>
                <w:b/>
                <w:sz w:val="20"/>
              </w:rPr>
            </w:pPr>
            <w:r w:rsidRPr="0074292F">
              <w:rPr>
                <w:b/>
                <w:sz w:val="20"/>
              </w:rPr>
              <w:t xml:space="preserve">Social / Affordable Rented Housing </w:t>
            </w:r>
          </w:p>
        </w:tc>
        <w:tc>
          <w:tcPr>
            <w:tcW w:w="896" w:type="dxa"/>
            <w:vAlign w:val="center"/>
          </w:tcPr>
          <w:p w14:paraId="46466958" w14:textId="538FC820" w:rsidR="00B31E2F" w:rsidRPr="0074292F" w:rsidRDefault="0074292F" w:rsidP="00572D12">
            <w:pPr>
              <w:spacing w:line="276" w:lineRule="auto"/>
              <w:rPr>
                <w:sz w:val="20"/>
              </w:rPr>
            </w:pPr>
            <w:r w:rsidRPr="0074292F">
              <w:rPr>
                <w:sz w:val="20"/>
              </w:rPr>
              <w:t>20</w:t>
            </w:r>
            <w:r w:rsidR="00B31E2F" w:rsidRPr="0074292F">
              <w:rPr>
                <w:sz w:val="20"/>
              </w:rPr>
              <w:t>%</w:t>
            </w:r>
          </w:p>
        </w:tc>
        <w:tc>
          <w:tcPr>
            <w:tcW w:w="897" w:type="dxa"/>
            <w:vAlign w:val="center"/>
          </w:tcPr>
          <w:p w14:paraId="16444092" w14:textId="2FC59750" w:rsidR="00B31E2F" w:rsidRPr="0074292F" w:rsidRDefault="0074292F" w:rsidP="00572D12">
            <w:pPr>
              <w:spacing w:line="276" w:lineRule="auto"/>
              <w:rPr>
                <w:sz w:val="20"/>
              </w:rPr>
            </w:pPr>
            <w:r w:rsidRPr="0074292F">
              <w:rPr>
                <w:sz w:val="20"/>
              </w:rPr>
              <w:t>32</w:t>
            </w:r>
            <w:r w:rsidR="00B31E2F" w:rsidRPr="0074292F">
              <w:rPr>
                <w:sz w:val="20"/>
              </w:rPr>
              <w:t>%</w:t>
            </w:r>
          </w:p>
        </w:tc>
        <w:tc>
          <w:tcPr>
            <w:tcW w:w="897" w:type="dxa"/>
            <w:vAlign w:val="center"/>
          </w:tcPr>
          <w:p w14:paraId="536DCE38" w14:textId="2CDFF061" w:rsidR="00B31E2F" w:rsidRPr="0074292F" w:rsidRDefault="00B31E2F" w:rsidP="00572D12">
            <w:pPr>
              <w:spacing w:line="276" w:lineRule="auto"/>
              <w:rPr>
                <w:sz w:val="20"/>
              </w:rPr>
            </w:pPr>
            <w:r w:rsidRPr="0074292F">
              <w:rPr>
                <w:sz w:val="20"/>
              </w:rPr>
              <w:t>3</w:t>
            </w:r>
            <w:r w:rsidR="0074292F" w:rsidRPr="0074292F">
              <w:rPr>
                <w:sz w:val="20"/>
              </w:rPr>
              <w:t>5</w:t>
            </w:r>
            <w:r w:rsidRPr="0074292F">
              <w:rPr>
                <w:sz w:val="20"/>
              </w:rPr>
              <w:t>%</w:t>
            </w:r>
          </w:p>
        </w:tc>
        <w:tc>
          <w:tcPr>
            <w:tcW w:w="897" w:type="dxa"/>
            <w:vAlign w:val="center"/>
          </w:tcPr>
          <w:p w14:paraId="368D287D" w14:textId="26157CFA" w:rsidR="00B31E2F" w:rsidRPr="0074292F" w:rsidRDefault="0074292F" w:rsidP="00572D12">
            <w:pPr>
              <w:spacing w:line="276" w:lineRule="auto"/>
              <w:rPr>
                <w:sz w:val="20"/>
              </w:rPr>
            </w:pPr>
            <w:r w:rsidRPr="0074292F">
              <w:rPr>
                <w:sz w:val="20"/>
              </w:rPr>
              <w:t>1</w:t>
            </w:r>
            <w:r w:rsidR="00B31E2F" w:rsidRPr="0074292F">
              <w:rPr>
                <w:sz w:val="20"/>
              </w:rPr>
              <w:t>2%</w:t>
            </w:r>
          </w:p>
        </w:tc>
      </w:tr>
    </w:tbl>
    <w:p w14:paraId="7D0983E0" w14:textId="77777777" w:rsidR="00B31E2F" w:rsidRPr="00D550AD" w:rsidRDefault="00B31E2F" w:rsidP="0006369C">
      <w:pPr>
        <w:jc w:val="both"/>
        <w:rPr>
          <w:rFonts w:cs="Arial"/>
          <w:color w:val="0070C0"/>
          <w:sz w:val="22"/>
          <w:szCs w:val="22"/>
        </w:rPr>
      </w:pPr>
    </w:p>
    <w:p w14:paraId="3B662F0D" w14:textId="31C4F464" w:rsidR="00CA00CE" w:rsidRPr="00D550AD" w:rsidRDefault="00CA00CE" w:rsidP="00CA00CE">
      <w:pPr>
        <w:autoSpaceDE w:val="0"/>
        <w:autoSpaceDN w:val="0"/>
        <w:adjustRightInd w:val="0"/>
        <w:rPr>
          <w:rFonts w:eastAsiaTheme="minorHAnsi" w:cs="Arial"/>
          <w:color w:val="0070C0"/>
          <w:sz w:val="22"/>
          <w:szCs w:val="22"/>
        </w:rPr>
      </w:pPr>
      <w:r w:rsidRPr="00EE4DCE">
        <w:rPr>
          <w:rFonts w:cs="Arial"/>
          <w:sz w:val="22"/>
          <w:szCs w:val="22"/>
        </w:rPr>
        <w:t>It must be noted that Policy CP3 recognises that a proposed housing mix may need to be adjusted for specific schemes to take account of market information and specific site factors; where adjustment to the proportions is sought, applications should explain how relevant factors have contributed to the mix of housing proposed</w:t>
      </w:r>
      <w:r w:rsidRPr="00D550AD">
        <w:rPr>
          <w:rFonts w:cs="Arial"/>
          <w:color w:val="0070C0"/>
          <w:sz w:val="22"/>
          <w:szCs w:val="22"/>
        </w:rPr>
        <w:t>.</w:t>
      </w:r>
    </w:p>
    <w:p w14:paraId="58957FD0" w14:textId="77777777" w:rsidR="00A42D76" w:rsidRPr="00EE4DCE" w:rsidRDefault="00A42D76" w:rsidP="009C3FAB">
      <w:pPr>
        <w:rPr>
          <w:rFonts w:cs="Arial"/>
          <w:sz w:val="22"/>
          <w:szCs w:val="22"/>
        </w:rPr>
      </w:pPr>
    </w:p>
    <w:p w14:paraId="15E02CB5" w14:textId="74E32F00" w:rsidR="00CD1562" w:rsidRPr="00EE4DCE" w:rsidRDefault="00FC31BB" w:rsidP="00FC31BB">
      <w:pPr>
        <w:spacing w:after="240"/>
        <w:jc w:val="both"/>
        <w:rPr>
          <w:rFonts w:cs="Arial"/>
          <w:sz w:val="22"/>
          <w:szCs w:val="22"/>
        </w:rPr>
      </w:pPr>
      <w:bookmarkStart w:id="0" w:name="_Hlk187232135"/>
      <w:r w:rsidRPr="00EE4DCE">
        <w:rPr>
          <w:rFonts w:cs="Arial"/>
          <w:sz w:val="22"/>
          <w:szCs w:val="22"/>
        </w:rPr>
        <w:t xml:space="preserve">Policy CP4 of the Core Strategy requires 45% of all new housing to be provided as Affordable Housing, unless it can be clearly demonstrated with financial evidence that this is not viable. </w:t>
      </w:r>
      <w:r w:rsidR="00CD1562" w:rsidRPr="00EE4DCE">
        <w:rPr>
          <w:rFonts w:cs="Arial"/>
          <w:sz w:val="22"/>
          <w:szCs w:val="22"/>
        </w:rPr>
        <w:t>Policy CP4 sets out that the Council will “as a guide, seek 70% of the affordable housing provided to be social rented and 30% to be intermediate”.</w:t>
      </w:r>
    </w:p>
    <w:p w14:paraId="25FAEE60" w14:textId="150FFF58" w:rsidR="00FC31BB" w:rsidRPr="00EE4DCE" w:rsidRDefault="00FC31BB" w:rsidP="00FC31BB">
      <w:pPr>
        <w:spacing w:after="240"/>
        <w:jc w:val="both"/>
        <w:rPr>
          <w:rFonts w:cs="Arial"/>
          <w:sz w:val="22"/>
          <w:szCs w:val="22"/>
        </w:rPr>
      </w:pPr>
      <w:r w:rsidRPr="00EE4DCE">
        <w:rPr>
          <w:rFonts w:cs="Arial"/>
          <w:sz w:val="22"/>
          <w:szCs w:val="22"/>
        </w:rPr>
        <w:t>On 24th May 2021, the Government published a Written Ministerial Statement (WMS) to set out the Government’s plans for the delivery of First Homes defining the product and changes to planning policy. Following publication of the WMS, Planning Practice Guidance (PPG) was updated to reflect the WMS and form</w:t>
      </w:r>
      <w:r w:rsidR="00CD1562" w:rsidRPr="00EE4DCE">
        <w:rPr>
          <w:rFonts w:cs="Arial"/>
          <w:sz w:val="22"/>
          <w:szCs w:val="22"/>
        </w:rPr>
        <w:t>ed</w:t>
      </w:r>
      <w:r w:rsidRPr="00EE4DCE">
        <w:rPr>
          <w:rFonts w:cs="Arial"/>
          <w:sz w:val="22"/>
          <w:szCs w:val="22"/>
        </w:rPr>
        <w:t xml:space="preserve"> a material consideration in decision making. As a result of the introduction First Homes</w:t>
      </w:r>
      <w:r w:rsidR="00CD1562" w:rsidRPr="00EE4DCE">
        <w:rPr>
          <w:rFonts w:cs="Arial"/>
          <w:sz w:val="22"/>
          <w:szCs w:val="22"/>
        </w:rPr>
        <w:t xml:space="preserve"> and changes to national policy</w:t>
      </w:r>
      <w:r w:rsidRPr="00EE4DCE">
        <w:rPr>
          <w:rFonts w:cs="Arial"/>
          <w:sz w:val="22"/>
          <w:szCs w:val="22"/>
        </w:rPr>
        <w:t>,</w:t>
      </w:r>
      <w:r w:rsidR="00CD1562" w:rsidRPr="00EE4DCE">
        <w:rPr>
          <w:rFonts w:cs="Arial"/>
          <w:sz w:val="22"/>
          <w:szCs w:val="22"/>
        </w:rPr>
        <w:t xml:space="preserve"> the Council released a First Home Policy Position Statement. This Policy Position Statement amended</w:t>
      </w:r>
      <w:r w:rsidRPr="00EE4DCE">
        <w:rPr>
          <w:rFonts w:cs="Arial"/>
          <w:sz w:val="22"/>
          <w:szCs w:val="22"/>
        </w:rPr>
        <w:t xml:space="preserve"> the tenure mix for affordable housing under Policy CP4 of the Core Strategy (2011) </w:t>
      </w:r>
      <w:r w:rsidR="00CD1562" w:rsidRPr="00EE4DCE">
        <w:rPr>
          <w:rFonts w:cs="Arial"/>
          <w:sz w:val="22"/>
          <w:szCs w:val="22"/>
        </w:rPr>
        <w:t>as</w:t>
      </w:r>
      <w:r w:rsidRPr="00EE4DCE">
        <w:rPr>
          <w:rFonts w:cs="Arial"/>
          <w:sz w:val="22"/>
          <w:szCs w:val="22"/>
        </w:rPr>
        <w:t>:</w:t>
      </w:r>
    </w:p>
    <w:p w14:paraId="2697B138" w14:textId="77777777" w:rsidR="00FC31BB" w:rsidRPr="00EE4DCE" w:rsidRDefault="00FC31BB" w:rsidP="00FC31BB">
      <w:pPr>
        <w:numPr>
          <w:ilvl w:val="0"/>
          <w:numId w:val="9"/>
        </w:numPr>
        <w:rPr>
          <w:rFonts w:cs="Arial"/>
          <w:i/>
          <w:iCs/>
          <w:sz w:val="22"/>
          <w:szCs w:val="22"/>
        </w:rPr>
      </w:pPr>
      <w:r w:rsidRPr="00EE4DCE">
        <w:rPr>
          <w:rFonts w:cs="Arial"/>
          <w:i/>
          <w:iCs/>
          <w:sz w:val="22"/>
          <w:szCs w:val="22"/>
        </w:rPr>
        <w:t>25% First Homes</w:t>
      </w:r>
    </w:p>
    <w:p w14:paraId="24766ABE" w14:textId="77777777" w:rsidR="00FC31BB" w:rsidRPr="00EE4DCE" w:rsidRDefault="00FC31BB" w:rsidP="00FC31BB">
      <w:pPr>
        <w:numPr>
          <w:ilvl w:val="0"/>
          <w:numId w:val="9"/>
        </w:numPr>
        <w:rPr>
          <w:rFonts w:cs="Arial"/>
          <w:i/>
          <w:iCs/>
          <w:sz w:val="22"/>
          <w:szCs w:val="22"/>
        </w:rPr>
      </w:pPr>
      <w:r w:rsidRPr="00EE4DCE">
        <w:rPr>
          <w:rFonts w:cs="Arial"/>
          <w:i/>
          <w:iCs/>
          <w:sz w:val="22"/>
          <w:szCs w:val="22"/>
        </w:rPr>
        <w:t>70% social rented, and</w:t>
      </w:r>
    </w:p>
    <w:p w14:paraId="459B8074" w14:textId="5698EF40" w:rsidR="00D1401C" w:rsidRPr="00EE4DCE" w:rsidRDefault="00FC31BB" w:rsidP="00D1401C">
      <w:pPr>
        <w:numPr>
          <w:ilvl w:val="0"/>
          <w:numId w:val="9"/>
        </w:numPr>
        <w:rPr>
          <w:rFonts w:cs="Arial"/>
          <w:i/>
          <w:iCs/>
          <w:sz w:val="22"/>
          <w:szCs w:val="22"/>
        </w:rPr>
      </w:pPr>
      <w:r w:rsidRPr="00EE4DCE">
        <w:rPr>
          <w:rFonts w:cs="Arial"/>
          <w:i/>
          <w:iCs/>
          <w:sz w:val="22"/>
          <w:szCs w:val="22"/>
        </w:rPr>
        <w:t>5% intermediate</w:t>
      </w:r>
    </w:p>
    <w:p w14:paraId="642F1EEA" w14:textId="77777777" w:rsidR="00CD1562" w:rsidRPr="00EE4DCE" w:rsidRDefault="00CD1562" w:rsidP="00CD1562">
      <w:pPr>
        <w:rPr>
          <w:rFonts w:cs="Arial"/>
          <w:sz w:val="22"/>
          <w:szCs w:val="22"/>
        </w:rPr>
      </w:pPr>
    </w:p>
    <w:p w14:paraId="3F440197" w14:textId="175AFB7C" w:rsidR="00112B80" w:rsidRPr="00EE4DCE" w:rsidRDefault="00CD1562" w:rsidP="00CD1562">
      <w:pPr>
        <w:rPr>
          <w:rFonts w:cs="Arial"/>
          <w:sz w:val="22"/>
          <w:szCs w:val="22"/>
        </w:rPr>
      </w:pPr>
      <w:r w:rsidRPr="00EE4DCE">
        <w:rPr>
          <w:rFonts w:cs="Arial"/>
          <w:sz w:val="22"/>
          <w:szCs w:val="22"/>
        </w:rPr>
        <w:t xml:space="preserve">However, </w:t>
      </w:r>
      <w:r w:rsidR="00297EEC" w:rsidRPr="00EE4DCE">
        <w:rPr>
          <w:rFonts w:cs="Arial"/>
          <w:sz w:val="22"/>
          <w:szCs w:val="22"/>
        </w:rPr>
        <w:t xml:space="preserve">changes were made to national policy following the publication of the newest version of the NPPF in December 2024. </w:t>
      </w:r>
      <w:r w:rsidR="00112B80" w:rsidRPr="00EE4DCE">
        <w:rPr>
          <w:sz w:val="22"/>
          <w:szCs w:val="22"/>
        </w:rPr>
        <w:t>Within paragraph 6 of the NPPF, reference to the Written Ministerial Statement on Affordable Homes (24</w:t>
      </w:r>
      <w:r w:rsidR="00112B80" w:rsidRPr="00EE4DCE">
        <w:rPr>
          <w:sz w:val="22"/>
          <w:szCs w:val="22"/>
          <w:vertAlign w:val="superscript"/>
        </w:rPr>
        <w:t>th</w:t>
      </w:r>
      <w:r w:rsidR="00112B80" w:rsidRPr="00EE4DCE">
        <w:rPr>
          <w:sz w:val="22"/>
          <w:szCs w:val="22"/>
        </w:rPr>
        <w:t xml:space="preserve"> May 2021), which contained policy on First Homes, has been removed and the prescriptive requirement that 10% of the total number of homes to be available for affordable home ownership as set out in former paragraph 66 has been deleted.</w:t>
      </w:r>
      <w:r w:rsidR="00297EEC" w:rsidRPr="00EE4DCE">
        <w:rPr>
          <w:sz w:val="22"/>
          <w:szCs w:val="22"/>
        </w:rPr>
        <w:t xml:space="preserve"> As such, the Council will be reviewing its </w:t>
      </w:r>
      <w:r w:rsidR="00297EEC" w:rsidRPr="00EE4DCE">
        <w:rPr>
          <w:rFonts w:cs="Arial"/>
          <w:sz w:val="22"/>
          <w:szCs w:val="22"/>
        </w:rPr>
        <w:t xml:space="preserve">Policy Position </w:t>
      </w:r>
      <w:r w:rsidR="00297EEC" w:rsidRPr="00EE4DCE">
        <w:rPr>
          <w:rFonts w:cs="Arial"/>
          <w:sz w:val="22"/>
          <w:szCs w:val="22"/>
        </w:rPr>
        <w:lastRenderedPageBreak/>
        <w:t xml:space="preserve">Statement. It is advised that development complies with Policy CP4 as written, </w:t>
      </w:r>
      <w:r w:rsidR="001B5B20" w:rsidRPr="00EE4DCE">
        <w:rPr>
          <w:rFonts w:cs="Arial"/>
          <w:sz w:val="22"/>
          <w:szCs w:val="22"/>
        </w:rPr>
        <w:t xml:space="preserve">apportioning </w:t>
      </w:r>
      <w:r w:rsidR="00831373" w:rsidRPr="00EE4DCE">
        <w:rPr>
          <w:rFonts w:cs="Arial"/>
          <w:sz w:val="22"/>
          <w:szCs w:val="22"/>
        </w:rPr>
        <w:t>70% of the affordable housing</w:t>
      </w:r>
      <w:r w:rsidR="001E6888" w:rsidRPr="00EE4DCE">
        <w:rPr>
          <w:rFonts w:cs="Arial"/>
          <w:sz w:val="22"/>
          <w:szCs w:val="22"/>
        </w:rPr>
        <w:t xml:space="preserve"> provision</w:t>
      </w:r>
      <w:r w:rsidR="00831373" w:rsidRPr="00EE4DCE">
        <w:rPr>
          <w:rFonts w:cs="Arial"/>
          <w:sz w:val="22"/>
          <w:szCs w:val="22"/>
        </w:rPr>
        <w:t xml:space="preserve"> as social rented and 30% as intermediate.</w:t>
      </w:r>
    </w:p>
    <w:bookmarkEnd w:id="0"/>
    <w:p w14:paraId="46189D64" w14:textId="77777777" w:rsidR="00B02377" w:rsidRDefault="00B02377" w:rsidP="009C3FAB">
      <w:pPr>
        <w:rPr>
          <w:rFonts w:cs="Arial"/>
          <w:color w:val="0070C0"/>
          <w:sz w:val="22"/>
          <w:szCs w:val="22"/>
        </w:rPr>
      </w:pPr>
    </w:p>
    <w:p w14:paraId="0BA10EC2" w14:textId="77777777" w:rsidR="00FD15CC" w:rsidRPr="001B7BE1" w:rsidRDefault="00FD15CC" w:rsidP="00FD15CC">
      <w:pPr>
        <w:rPr>
          <w:rFonts w:cs="Arial"/>
          <w:color w:val="00B050"/>
          <w:sz w:val="22"/>
          <w:szCs w:val="22"/>
        </w:rPr>
      </w:pPr>
      <w:r w:rsidRPr="001B7BE1">
        <w:rPr>
          <w:rFonts w:cs="Arial"/>
          <w:sz w:val="22"/>
          <w:szCs w:val="22"/>
        </w:rPr>
        <w:t xml:space="preserve">A Local </w:t>
      </w:r>
      <w:r>
        <w:rPr>
          <w:rFonts w:cs="Arial"/>
          <w:sz w:val="22"/>
          <w:szCs w:val="22"/>
        </w:rPr>
        <w:t>Wildlife Site is located within the site and the site adjoins another Local Wildlife Site to the north-west. Policy DM6 of the Development Management Policies Local Development Document sets out that:</w:t>
      </w:r>
    </w:p>
    <w:p w14:paraId="3CBFEE16" w14:textId="77777777" w:rsidR="00FD15CC" w:rsidRDefault="00FD15CC" w:rsidP="00FD15CC">
      <w:pPr>
        <w:pStyle w:val="Header"/>
        <w:jc w:val="both"/>
        <w:rPr>
          <w:rFonts w:cs="Arial"/>
          <w:sz w:val="22"/>
          <w:szCs w:val="22"/>
        </w:rPr>
      </w:pPr>
    </w:p>
    <w:p w14:paraId="2A1D9204" w14:textId="77777777" w:rsidR="00FD15CC" w:rsidRPr="004B7A40" w:rsidRDefault="00FD15CC" w:rsidP="00FD15CC">
      <w:pPr>
        <w:pStyle w:val="Header"/>
        <w:jc w:val="both"/>
        <w:rPr>
          <w:rFonts w:cs="Arial"/>
          <w:i/>
          <w:iCs/>
          <w:sz w:val="22"/>
          <w:szCs w:val="22"/>
        </w:rPr>
      </w:pPr>
      <w:r w:rsidRPr="004B7A40">
        <w:rPr>
          <w:rFonts w:cs="Arial"/>
          <w:i/>
          <w:iCs/>
          <w:sz w:val="22"/>
          <w:szCs w:val="22"/>
        </w:rPr>
        <w:t xml:space="preserve">“Development that would affect a Site of Special Scientific Interest, Local Nature Reserve, Local Wildlife Site or protected species under UK or European law, or identified as being in need of conservation by the UK Biodiversity Action Plan or the Hertfordshire Biodiversity Action Plan , will not be permitted where there is an adverse impact on the ecological, geological or biodiversity interests of the site, unless it can be demonstrated that: </w:t>
      </w:r>
    </w:p>
    <w:p w14:paraId="4B777CFE" w14:textId="77777777" w:rsidR="00FD15CC" w:rsidRPr="004B7A40" w:rsidRDefault="00FD15CC" w:rsidP="00FD15CC">
      <w:pPr>
        <w:pStyle w:val="Header"/>
        <w:jc w:val="both"/>
        <w:rPr>
          <w:rFonts w:cs="Arial"/>
          <w:i/>
          <w:iCs/>
          <w:sz w:val="22"/>
          <w:szCs w:val="22"/>
        </w:rPr>
      </w:pPr>
    </w:p>
    <w:p w14:paraId="4202F86F" w14:textId="77777777" w:rsidR="00FD15CC" w:rsidRPr="004B7A40" w:rsidRDefault="00FD15CC" w:rsidP="00FD15CC">
      <w:pPr>
        <w:pStyle w:val="Header"/>
        <w:numPr>
          <w:ilvl w:val="0"/>
          <w:numId w:val="13"/>
        </w:numPr>
        <w:jc w:val="both"/>
        <w:rPr>
          <w:rFonts w:cs="Arial"/>
          <w:i/>
          <w:iCs/>
          <w:sz w:val="22"/>
          <w:szCs w:val="22"/>
        </w:rPr>
      </w:pPr>
      <w:r w:rsidRPr="004B7A40">
        <w:rPr>
          <w:rFonts w:cs="Arial"/>
          <w:i/>
          <w:iCs/>
          <w:sz w:val="22"/>
          <w:szCs w:val="22"/>
        </w:rPr>
        <w:t xml:space="preserve">The need for the development would outweigh the need to safeguard the biodiversity of the site, and where alternative wildlife habitat provision can be made in order to maintain local biodiversity; and </w:t>
      </w:r>
    </w:p>
    <w:p w14:paraId="0701A434" w14:textId="77777777" w:rsidR="00FD15CC" w:rsidRPr="004B7A40" w:rsidRDefault="00FD15CC" w:rsidP="00FD15CC">
      <w:pPr>
        <w:pStyle w:val="Header"/>
        <w:ind w:left="1080"/>
        <w:jc w:val="both"/>
        <w:rPr>
          <w:rFonts w:cs="Arial"/>
          <w:i/>
          <w:iCs/>
          <w:sz w:val="22"/>
          <w:szCs w:val="22"/>
        </w:rPr>
      </w:pPr>
    </w:p>
    <w:p w14:paraId="65050541" w14:textId="77777777" w:rsidR="00FD15CC" w:rsidRPr="004B7A40" w:rsidRDefault="00FD15CC" w:rsidP="00FD15CC">
      <w:pPr>
        <w:pStyle w:val="Header"/>
        <w:numPr>
          <w:ilvl w:val="0"/>
          <w:numId w:val="13"/>
        </w:numPr>
        <w:jc w:val="both"/>
        <w:rPr>
          <w:rFonts w:cs="Arial"/>
          <w:i/>
          <w:iCs/>
          <w:sz w:val="22"/>
          <w:szCs w:val="22"/>
        </w:rPr>
      </w:pPr>
      <w:r w:rsidRPr="004B7A40">
        <w:rPr>
          <w:rFonts w:cs="Arial"/>
          <w:i/>
          <w:iCs/>
          <w:sz w:val="22"/>
          <w:szCs w:val="22"/>
        </w:rPr>
        <w:t>Adverse effects can be satisfactorily minimised through mitigation and compensation measures to maintain the level of biodiversity in the area.</w:t>
      </w:r>
    </w:p>
    <w:p w14:paraId="224C2E84" w14:textId="77777777" w:rsidR="00FD15CC" w:rsidRDefault="00FD15CC" w:rsidP="009C3FAB">
      <w:pPr>
        <w:rPr>
          <w:rFonts w:cs="Arial"/>
          <w:color w:val="0070C0"/>
          <w:sz w:val="22"/>
          <w:szCs w:val="22"/>
        </w:rPr>
      </w:pPr>
    </w:p>
    <w:p w14:paraId="45AFFD9B" w14:textId="77777777" w:rsidR="00FD15CC" w:rsidRPr="00D550AD" w:rsidRDefault="00FD15CC" w:rsidP="009C3FAB">
      <w:pPr>
        <w:rPr>
          <w:rFonts w:cs="Arial"/>
          <w:color w:val="0070C0"/>
          <w:sz w:val="22"/>
          <w:szCs w:val="22"/>
        </w:rPr>
      </w:pPr>
    </w:p>
    <w:p w14:paraId="4D96A382" w14:textId="77777777" w:rsidR="009C3FAB" w:rsidRPr="00FD15CC" w:rsidRDefault="009C3FAB" w:rsidP="009C3FAB">
      <w:pPr>
        <w:rPr>
          <w:rFonts w:cs="Arial"/>
          <w:sz w:val="22"/>
          <w:szCs w:val="22"/>
        </w:rPr>
      </w:pPr>
    </w:p>
    <w:p w14:paraId="048451C3" w14:textId="329AF471" w:rsidR="00E642BE" w:rsidRPr="00FD15CC" w:rsidRDefault="00F451D4" w:rsidP="005456BB">
      <w:pPr>
        <w:pStyle w:val="Header"/>
        <w:tabs>
          <w:tab w:val="clear" w:pos="4153"/>
          <w:tab w:val="clear" w:pos="8306"/>
        </w:tabs>
        <w:spacing w:line="276" w:lineRule="auto"/>
        <w:jc w:val="both"/>
        <w:rPr>
          <w:rFonts w:cs="Arial"/>
          <w:i/>
          <w:sz w:val="22"/>
          <w:szCs w:val="24"/>
        </w:rPr>
      </w:pPr>
      <w:r w:rsidRPr="00FD15CC">
        <w:rPr>
          <w:rFonts w:cs="Arial"/>
          <w:i/>
          <w:sz w:val="22"/>
          <w:szCs w:val="24"/>
        </w:rPr>
        <w:t>Aaron Roberts</w:t>
      </w:r>
      <w:r w:rsidR="005456BB" w:rsidRPr="00FD15CC">
        <w:rPr>
          <w:rFonts w:cs="Arial"/>
          <w:i/>
          <w:sz w:val="22"/>
          <w:szCs w:val="24"/>
        </w:rPr>
        <w:t xml:space="preserve">, </w:t>
      </w:r>
      <w:r w:rsidRPr="00FD15CC">
        <w:rPr>
          <w:rFonts w:cs="Arial"/>
          <w:i/>
          <w:sz w:val="22"/>
          <w:szCs w:val="24"/>
        </w:rPr>
        <w:t xml:space="preserve">Senior </w:t>
      </w:r>
      <w:r w:rsidR="00E642BE" w:rsidRPr="00FD15CC">
        <w:rPr>
          <w:rFonts w:cs="Arial"/>
          <w:i/>
          <w:sz w:val="22"/>
          <w:szCs w:val="24"/>
        </w:rPr>
        <w:t xml:space="preserve">Planning Officer   </w:t>
      </w:r>
      <w:r w:rsidR="00E642BE" w:rsidRPr="00FD15CC">
        <w:rPr>
          <w:rFonts w:cs="Arial"/>
          <w:i/>
          <w:sz w:val="22"/>
          <w:szCs w:val="24"/>
        </w:rPr>
        <w:tab/>
      </w:r>
      <w:r w:rsidR="00E642BE" w:rsidRPr="00FD15CC">
        <w:rPr>
          <w:rFonts w:cs="Arial"/>
          <w:i/>
          <w:sz w:val="22"/>
          <w:szCs w:val="24"/>
        </w:rPr>
        <w:tab/>
      </w:r>
      <w:r w:rsidR="009E7B77">
        <w:rPr>
          <w:rFonts w:cs="Arial"/>
          <w:i/>
          <w:sz w:val="22"/>
          <w:szCs w:val="24"/>
        </w:rPr>
        <w:tab/>
      </w:r>
      <w:r w:rsidR="00E642BE" w:rsidRPr="00FD15CC">
        <w:rPr>
          <w:rFonts w:cs="Arial"/>
          <w:i/>
          <w:sz w:val="22"/>
          <w:szCs w:val="24"/>
        </w:rPr>
        <w:t xml:space="preserve">   Date: </w:t>
      </w:r>
      <w:r w:rsidR="009E7B77">
        <w:rPr>
          <w:rFonts w:cs="Arial"/>
          <w:i/>
          <w:sz w:val="22"/>
          <w:szCs w:val="24"/>
        </w:rPr>
        <w:t>24</w:t>
      </w:r>
      <w:r w:rsidR="009E7B77" w:rsidRPr="009E7B77">
        <w:rPr>
          <w:rFonts w:cs="Arial"/>
          <w:i/>
          <w:sz w:val="22"/>
          <w:szCs w:val="24"/>
          <w:vertAlign w:val="superscript"/>
        </w:rPr>
        <w:t>th</w:t>
      </w:r>
      <w:r w:rsidR="009E7B77">
        <w:rPr>
          <w:rFonts w:cs="Arial"/>
          <w:i/>
          <w:sz w:val="22"/>
          <w:szCs w:val="24"/>
        </w:rPr>
        <w:t xml:space="preserve"> February 2025</w:t>
      </w:r>
    </w:p>
    <w:p w14:paraId="63414D53" w14:textId="77777777" w:rsidR="00515975" w:rsidRPr="00D550AD" w:rsidRDefault="00515975">
      <w:pPr>
        <w:rPr>
          <w:color w:val="0070C0"/>
        </w:rPr>
      </w:pPr>
    </w:p>
    <w:p w14:paraId="6EDC3774" w14:textId="77777777" w:rsidR="00F451D4" w:rsidRPr="00D550AD" w:rsidRDefault="00F451D4">
      <w:pPr>
        <w:rPr>
          <w:color w:val="0070C0"/>
        </w:rPr>
      </w:pPr>
    </w:p>
    <w:sectPr w:rsidR="00F451D4" w:rsidRPr="00D550AD">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37870" w14:textId="77777777" w:rsidR="00E642BE" w:rsidRDefault="00E642BE" w:rsidP="00E642BE">
      <w:r>
        <w:separator/>
      </w:r>
    </w:p>
  </w:endnote>
  <w:endnote w:type="continuationSeparator" w:id="0">
    <w:p w14:paraId="1F99A8B7" w14:textId="77777777" w:rsidR="00E642BE" w:rsidRDefault="00E642BE" w:rsidP="00E64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14BF7" w14:textId="77777777" w:rsidR="00E642BE" w:rsidRDefault="00E642BE" w:rsidP="00E642BE">
      <w:r>
        <w:separator/>
      </w:r>
    </w:p>
  </w:footnote>
  <w:footnote w:type="continuationSeparator" w:id="0">
    <w:p w14:paraId="39B735CA" w14:textId="77777777" w:rsidR="00E642BE" w:rsidRDefault="00E642BE" w:rsidP="00E642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Layout w:type="fixed"/>
      <w:tblLook w:val="0000" w:firstRow="0" w:lastRow="0" w:firstColumn="0" w:lastColumn="0" w:noHBand="0" w:noVBand="0"/>
    </w:tblPr>
    <w:tblGrid>
      <w:gridCol w:w="9072"/>
    </w:tblGrid>
    <w:tr w:rsidR="00E642BE" w14:paraId="71CFDC4B" w14:textId="77777777" w:rsidTr="004F656B">
      <w:trPr>
        <w:trHeight w:val="291"/>
      </w:trPr>
      <w:tc>
        <w:tcPr>
          <w:tcW w:w="9072" w:type="dxa"/>
        </w:tcPr>
        <w:p w14:paraId="09392F15" w14:textId="77777777" w:rsidR="00E642BE" w:rsidRPr="00187EF5" w:rsidRDefault="00E642BE" w:rsidP="00E642BE">
          <w:pPr>
            <w:pStyle w:val="Title"/>
            <w:jc w:val="left"/>
            <w:rPr>
              <w:color w:val="999999"/>
              <w:sz w:val="28"/>
              <w:szCs w:val="28"/>
            </w:rPr>
          </w:pPr>
          <w:r>
            <w:rPr>
              <w:color w:val="999999"/>
              <w:sz w:val="28"/>
              <w:szCs w:val="28"/>
            </w:rPr>
            <w:t>Local Plans Comments</w:t>
          </w:r>
        </w:p>
      </w:tc>
    </w:tr>
  </w:tbl>
  <w:p w14:paraId="4E4314C5" w14:textId="77777777" w:rsidR="00E642BE" w:rsidRDefault="00E642BE" w:rsidP="00E642BE">
    <w:pPr>
      <w:pStyle w:val="Header"/>
    </w:pPr>
    <w:r>
      <w:rPr>
        <w:noProof/>
        <w:sz w:val="18"/>
        <w:lang w:eastAsia="en-GB"/>
      </w:rPr>
      <w:drawing>
        <wp:inline distT="0" distB="0" distL="0" distR="0" wp14:anchorId="18A048B0" wp14:editId="58115171">
          <wp:extent cx="1483995" cy="51752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3995" cy="517525"/>
                  </a:xfrm>
                  <a:prstGeom prst="rect">
                    <a:avLst/>
                  </a:prstGeom>
                  <a:noFill/>
                  <a:ln>
                    <a:noFill/>
                  </a:ln>
                </pic:spPr>
              </pic:pic>
            </a:graphicData>
          </a:graphic>
        </wp:inline>
      </w:drawing>
    </w:r>
  </w:p>
  <w:p w14:paraId="7E809637" w14:textId="77777777" w:rsidR="00E642BE" w:rsidRDefault="00E642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011B"/>
    <w:multiLevelType w:val="hybridMultilevel"/>
    <w:tmpl w:val="3006BDF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DA2F09"/>
    <w:multiLevelType w:val="hybridMultilevel"/>
    <w:tmpl w:val="443AB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C20C6E"/>
    <w:multiLevelType w:val="hybridMultilevel"/>
    <w:tmpl w:val="635C43B4"/>
    <w:lvl w:ilvl="0" w:tplc="05784D5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BE73D0"/>
    <w:multiLevelType w:val="hybridMultilevel"/>
    <w:tmpl w:val="3FD42F16"/>
    <w:lvl w:ilvl="0" w:tplc="C8C4B7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9D569E"/>
    <w:multiLevelType w:val="hybridMultilevel"/>
    <w:tmpl w:val="D8328E40"/>
    <w:lvl w:ilvl="0" w:tplc="49D2764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2054FC7"/>
    <w:multiLevelType w:val="hybridMultilevel"/>
    <w:tmpl w:val="6762B3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2E3332"/>
    <w:multiLevelType w:val="hybridMultilevel"/>
    <w:tmpl w:val="8BF6D218"/>
    <w:lvl w:ilvl="0" w:tplc="0809001B">
      <w:start w:val="1"/>
      <w:numFmt w:val="lowerRoman"/>
      <w:lvlText w:val="%1."/>
      <w:lvlJc w:val="righ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37575615"/>
    <w:multiLevelType w:val="hybridMultilevel"/>
    <w:tmpl w:val="712ACECC"/>
    <w:lvl w:ilvl="0" w:tplc="4CBE8D8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DF0F49"/>
    <w:multiLevelType w:val="hybridMultilevel"/>
    <w:tmpl w:val="B75A993C"/>
    <w:lvl w:ilvl="0" w:tplc="9DFE9F4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580DA2"/>
    <w:multiLevelType w:val="hybridMultilevel"/>
    <w:tmpl w:val="60480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9C4EBD"/>
    <w:multiLevelType w:val="hybridMultilevel"/>
    <w:tmpl w:val="F9A4B25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63A2CEF"/>
    <w:multiLevelType w:val="hybridMultilevel"/>
    <w:tmpl w:val="02EA1694"/>
    <w:lvl w:ilvl="0" w:tplc="31EEF14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F281B33"/>
    <w:multiLevelType w:val="hybridMultilevel"/>
    <w:tmpl w:val="4F3050F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63126138">
    <w:abstractNumId w:val="0"/>
  </w:num>
  <w:num w:numId="2" w16cid:durableId="1300841921">
    <w:abstractNumId w:val="10"/>
  </w:num>
  <w:num w:numId="3" w16cid:durableId="978850835">
    <w:abstractNumId w:val="12"/>
  </w:num>
  <w:num w:numId="4" w16cid:durableId="997684854">
    <w:abstractNumId w:val="9"/>
  </w:num>
  <w:num w:numId="5" w16cid:durableId="1685671854">
    <w:abstractNumId w:val="1"/>
  </w:num>
  <w:num w:numId="6" w16cid:durableId="85082360">
    <w:abstractNumId w:val="2"/>
  </w:num>
  <w:num w:numId="7" w16cid:durableId="664747813">
    <w:abstractNumId w:val="3"/>
  </w:num>
  <w:num w:numId="8" w16cid:durableId="1794250705">
    <w:abstractNumId w:val="5"/>
  </w:num>
  <w:num w:numId="9" w16cid:durableId="1085106561">
    <w:abstractNumId w:val="7"/>
  </w:num>
  <w:num w:numId="10" w16cid:durableId="114719430">
    <w:abstractNumId w:val="6"/>
  </w:num>
  <w:num w:numId="11" w16cid:durableId="890186923">
    <w:abstractNumId w:val="8"/>
  </w:num>
  <w:num w:numId="12" w16cid:durableId="108664283">
    <w:abstractNumId w:val="4"/>
  </w:num>
  <w:num w:numId="13" w16cid:durableId="10070940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2BE"/>
    <w:rsid w:val="00006D6D"/>
    <w:rsid w:val="0003446B"/>
    <w:rsid w:val="00043EC0"/>
    <w:rsid w:val="00047222"/>
    <w:rsid w:val="0006369C"/>
    <w:rsid w:val="00063D2B"/>
    <w:rsid w:val="0007420F"/>
    <w:rsid w:val="00084847"/>
    <w:rsid w:val="000B1327"/>
    <w:rsid w:val="000D2BAF"/>
    <w:rsid w:val="00112B80"/>
    <w:rsid w:val="0011344B"/>
    <w:rsid w:val="00140140"/>
    <w:rsid w:val="00164148"/>
    <w:rsid w:val="00164279"/>
    <w:rsid w:val="0017339E"/>
    <w:rsid w:val="00182E74"/>
    <w:rsid w:val="00187161"/>
    <w:rsid w:val="001A24B0"/>
    <w:rsid w:val="001B5B20"/>
    <w:rsid w:val="001B69C1"/>
    <w:rsid w:val="001C37EC"/>
    <w:rsid w:val="001E6888"/>
    <w:rsid w:val="001F1F8E"/>
    <w:rsid w:val="002072EC"/>
    <w:rsid w:val="002170A8"/>
    <w:rsid w:val="00265508"/>
    <w:rsid w:val="00274777"/>
    <w:rsid w:val="002753C0"/>
    <w:rsid w:val="00285357"/>
    <w:rsid w:val="00297EEC"/>
    <w:rsid w:val="002A45ED"/>
    <w:rsid w:val="002A4E91"/>
    <w:rsid w:val="002A6506"/>
    <w:rsid w:val="002A7E22"/>
    <w:rsid w:val="002B450E"/>
    <w:rsid w:val="002F5DF6"/>
    <w:rsid w:val="003056FB"/>
    <w:rsid w:val="00307E4B"/>
    <w:rsid w:val="00335502"/>
    <w:rsid w:val="00340AC2"/>
    <w:rsid w:val="00371158"/>
    <w:rsid w:val="0037382B"/>
    <w:rsid w:val="003820EA"/>
    <w:rsid w:val="003C1FD9"/>
    <w:rsid w:val="003C2212"/>
    <w:rsid w:val="003D07F2"/>
    <w:rsid w:val="00410313"/>
    <w:rsid w:val="00437628"/>
    <w:rsid w:val="00453CFC"/>
    <w:rsid w:val="00454C5A"/>
    <w:rsid w:val="00467579"/>
    <w:rsid w:val="004741CF"/>
    <w:rsid w:val="0049191E"/>
    <w:rsid w:val="00496724"/>
    <w:rsid w:val="004B54E4"/>
    <w:rsid w:val="004D1176"/>
    <w:rsid w:val="004D2A77"/>
    <w:rsid w:val="004F1716"/>
    <w:rsid w:val="00515975"/>
    <w:rsid w:val="00524CA7"/>
    <w:rsid w:val="005456BB"/>
    <w:rsid w:val="005571D3"/>
    <w:rsid w:val="00576F59"/>
    <w:rsid w:val="00577AC4"/>
    <w:rsid w:val="00581C2B"/>
    <w:rsid w:val="005937FA"/>
    <w:rsid w:val="0059441A"/>
    <w:rsid w:val="005A0528"/>
    <w:rsid w:val="005D7FD4"/>
    <w:rsid w:val="005E22A5"/>
    <w:rsid w:val="005E5BED"/>
    <w:rsid w:val="006079EB"/>
    <w:rsid w:val="00615EE9"/>
    <w:rsid w:val="0062130E"/>
    <w:rsid w:val="0067003B"/>
    <w:rsid w:val="00674787"/>
    <w:rsid w:val="006C594E"/>
    <w:rsid w:val="006D3731"/>
    <w:rsid w:val="006D5756"/>
    <w:rsid w:val="00717C93"/>
    <w:rsid w:val="0073273B"/>
    <w:rsid w:val="00737F69"/>
    <w:rsid w:val="0074292F"/>
    <w:rsid w:val="00746F49"/>
    <w:rsid w:val="00751888"/>
    <w:rsid w:val="007565C9"/>
    <w:rsid w:val="007640A1"/>
    <w:rsid w:val="00773872"/>
    <w:rsid w:val="00783F85"/>
    <w:rsid w:val="0078603F"/>
    <w:rsid w:val="007A6821"/>
    <w:rsid w:val="007D6F3E"/>
    <w:rsid w:val="007E08B0"/>
    <w:rsid w:val="007E279D"/>
    <w:rsid w:val="007E429D"/>
    <w:rsid w:val="007F2746"/>
    <w:rsid w:val="0080285B"/>
    <w:rsid w:val="00822251"/>
    <w:rsid w:val="00822F0A"/>
    <w:rsid w:val="00831373"/>
    <w:rsid w:val="00844D8F"/>
    <w:rsid w:val="0084699B"/>
    <w:rsid w:val="0085256A"/>
    <w:rsid w:val="008552B8"/>
    <w:rsid w:val="0089148E"/>
    <w:rsid w:val="00894D07"/>
    <w:rsid w:val="00897888"/>
    <w:rsid w:val="008F1E8C"/>
    <w:rsid w:val="008F4AA5"/>
    <w:rsid w:val="008F5A92"/>
    <w:rsid w:val="00924C6E"/>
    <w:rsid w:val="00931785"/>
    <w:rsid w:val="009334DE"/>
    <w:rsid w:val="00945817"/>
    <w:rsid w:val="00945AC4"/>
    <w:rsid w:val="00950411"/>
    <w:rsid w:val="009504AB"/>
    <w:rsid w:val="009616F1"/>
    <w:rsid w:val="009675BC"/>
    <w:rsid w:val="009829DD"/>
    <w:rsid w:val="009951A4"/>
    <w:rsid w:val="009A45CB"/>
    <w:rsid w:val="009B1D89"/>
    <w:rsid w:val="009C3FAB"/>
    <w:rsid w:val="009E7B77"/>
    <w:rsid w:val="00A04BDE"/>
    <w:rsid w:val="00A135F9"/>
    <w:rsid w:val="00A16317"/>
    <w:rsid w:val="00A252E7"/>
    <w:rsid w:val="00A305DD"/>
    <w:rsid w:val="00A42D76"/>
    <w:rsid w:val="00A51DF9"/>
    <w:rsid w:val="00A772CB"/>
    <w:rsid w:val="00A83F86"/>
    <w:rsid w:val="00AE1FCC"/>
    <w:rsid w:val="00B02377"/>
    <w:rsid w:val="00B10CB2"/>
    <w:rsid w:val="00B31E2F"/>
    <w:rsid w:val="00B35B5E"/>
    <w:rsid w:val="00B37423"/>
    <w:rsid w:val="00B65694"/>
    <w:rsid w:val="00B708AA"/>
    <w:rsid w:val="00B712F6"/>
    <w:rsid w:val="00B83C83"/>
    <w:rsid w:val="00BA4F76"/>
    <w:rsid w:val="00BE30EE"/>
    <w:rsid w:val="00BF30E6"/>
    <w:rsid w:val="00BF6630"/>
    <w:rsid w:val="00BF7AA4"/>
    <w:rsid w:val="00C039A5"/>
    <w:rsid w:val="00C20C2F"/>
    <w:rsid w:val="00C21E53"/>
    <w:rsid w:val="00C259D2"/>
    <w:rsid w:val="00C25B54"/>
    <w:rsid w:val="00C60742"/>
    <w:rsid w:val="00C6165A"/>
    <w:rsid w:val="00C72FE2"/>
    <w:rsid w:val="00C82E71"/>
    <w:rsid w:val="00C85C70"/>
    <w:rsid w:val="00C86BFA"/>
    <w:rsid w:val="00CA00CE"/>
    <w:rsid w:val="00CA4990"/>
    <w:rsid w:val="00CD0889"/>
    <w:rsid w:val="00CD1562"/>
    <w:rsid w:val="00CE37F8"/>
    <w:rsid w:val="00D0271E"/>
    <w:rsid w:val="00D0441B"/>
    <w:rsid w:val="00D1241D"/>
    <w:rsid w:val="00D1401C"/>
    <w:rsid w:val="00D21659"/>
    <w:rsid w:val="00D332DF"/>
    <w:rsid w:val="00D37B6C"/>
    <w:rsid w:val="00D4642C"/>
    <w:rsid w:val="00D550AD"/>
    <w:rsid w:val="00D61BD1"/>
    <w:rsid w:val="00D76FC1"/>
    <w:rsid w:val="00D90F2A"/>
    <w:rsid w:val="00D930FE"/>
    <w:rsid w:val="00DA4123"/>
    <w:rsid w:val="00DA7DCB"/>
    <w:rsid w:val="00DB3F70"/>
    <w:rsid w:val="00DC09D3"/>
    <w:rsid w:val="00DC18B5"/>
    <w:rsid w:val="00DC75AF"/>
    <w:rsid w:val="00E074A6"/>
    <w:rsid w:val="00E1598D"/>
    <w:rsid w:val="00E642BE"/>
    <w:rsid w:val="00E65C86"/>
    <w:rsid w:val="00E67C39"/>
    <w:rsid w:val="00E70830"/>
    <w:rsid w:val="00E761B1"/>
    <w:rsid w:val="00E923B4"/>
    <w:rsid w:val="00E942D4"/>
    <w:rsid w:val="00EB123B"/>
    <w:rsid w:val="00EB4409"/>
    <w:rsid w:val="00EB77F3"/>
    <w:rsid w:val="00EC1D2D"/>
    <w:rsid w:val="00ED3151"/>
    <w:rsid w:val="00ED6042"/>
    <w:rsid w:val="00ED7351"/>
    <w:rsid w:val="00EE38E7"/>
    <w:rsid w:val="00EE4DCE"/>
    <w:rsid w:val="00EF5284"/>
    <w:rsid w:val="00F01F81"/>
    <w:rsid w:val="00F04F3C"/>
    <w:rsid w:val="00F245C5"/>
    <w:rsid w:val="00F451D4"/>
    <w:rsid w:val="00F4631B"/>
    <w:rsid w:val="00F57B36"/>
    <w:rsid w:val="00F66967"/>
    <w:rsid w:val="00F70AA7"/>
    <w:rsid w:val="00F77ACE"/>
    <w:rsid w:val="00F811ED"/>
    <w:rsid w:val="00F93EAA"/>
    <w:rsid w:val="00FC31BB"/>
    <w:rsid w:val="00FC4EC0"/>
    <w:rsid w:val="00FC68F4"/>
    <w:rsid w:val="00FD15CC"/>
    <w:rsid w:val="00FD35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4CCB9"/>
  <w15:chartTrackingRefBased/>
  <w15:docId w15:val="{A5BCCA09-B0E7-4F39-B843-A3D540050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2BE"/>
    <w:pPr>
      <w:spacing w:after="0" w:line="240" w:lineRule="auto"/>
    </w:pPr>
    <w:rPr>
      <w:rFonts w:ascii="Arial" w:eastAsia="Times New Roman" w:hAnsi="Arial" w:cs="Times New Roman"/>
      <w:sz w:val="24"/>
      <w:szCs w:val="20"/>
    </w:rPr>
  </w:style>
  <w:style w:type="paragraph" w:styleId="Heading2">
    <w:name w:val="heading 2"/>
    <w:basedOn w:val="Normal"/>
    <w:next w:val="Normal"/>
    <w:link w:val="Heading2Char"/>
    <w:uiPriority w:val="9"/>
    <w:semiHidden/>
    <w:unhideWhenUsed/>
    <w:qFormat/>
    <w:rsid w:val="0067478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642BE"/>
    <w:pPr>
      <w:tabs>
        <w:tab w:val="center" w:pos="4153"/>
        <w:tab w:val="right" w:pos="8306"/>
      </w:tabs>
    </w:pPr>
  </w:style>
  <w:style w:type="character" w:customStyle="1" w:styleId="HeaderChar">
    <w:name w:val="Header Char"/>
    <w:basedOn w:val="DefaultParagraphFont"/>
    <w:link w:val="Header"/>
    <w:rsid w:val="00E642BE"/>
    <w:rPr>
      <w:rFonts w:ascii="Arial" w:eastAsia="Times New Roman" w:hAnsi="Arial" w:cs="Times New Roman"/>
      <w:sz w:val="24"/>
      <w:szCs w:val="20"/>
    </w:rPr>
  </w:style>
  <w:style w:type="character" w:customStyle="1" w:styleId="description">
    <w:name w:val="description"/>
    <w:basedOn w:val="DefaultParagraphFont"/>
    <w:rsid w:val="00E642BE"/>
  </w:style>
  <w:style w:type="character" w:customStyle="1" w:styleId="address">
    <w:name w:val="address"/>
    <w:basedOn w:val="DefaultParagraphFont"/>
    <w:rsid w:val="00E642BE"/>
  </w:style>
  <w:style w:type="paragraph" w:styleId="Footer">
    <w:name w:val="footer"/>
    <w:basedOn w:val="Normal"/>
    <w:link w:val="FooterChar"/>
    <w:uiPriority w:val="99"/>
    <w:unhideWhenUsed/>
    <w:rsid w:val="00E642BE"/>
    <w:pPr>
      <w:tabs>
        <w:tab w:val="center" w:pos="4513"/>
        <w:tab w:val="right" w:pos="9026"/>
      </w:tabs>
    </w:pPr>
  </w:style>
  <w:style w:type="character" w:customStyle="1" w:styleId="FooterChar">
    <w:name w:val="Footer Char"/>
    <w:basedOn w:val="DefaultParagraphFont"/>
    <w:link w:val="Footer"/>
    <w:uiPriority w:val="99"/>
    <w:rsid w:val="00E642BE"/>
    <w:rPr>
      <w:rFonts w:ascii="Arial" w:eastAsia="Times New Roman" w:hAnsi="Arial" w:cs="Times New Roman"/>
      <w:sz w:val="24"/>
      <w:szCs w:val="20"/>
    </w:rPr>
  </w:style>
  <w:style w:type="paragraph" w:styleId="Title">
    <w:name w:val="Title"/>
    <w:basedOn w:val="Normal"/>
    <w:link w:val="TitleChar"/>
    <w:qFormat/>
    <w:rsid w:val="00E642BE"/>
    <w:pPr>
      <w:spacing w:line="340" w:lineRule="exact"/>
      <w:jc w:val="center"/>
    </w:pPr>
    <w:rPr>
      <w:sz w:val="30"/>
    </w:rPr>
  </w:style>
  <w:style w:type="character" w:customStyle="1" w:styleId="TitleChar">
    <w:name w:val="Title Char"/>
    <w:basedOn w:val="DefaultParagraphFont"/>
    <w:link w:val="Title"/>
    <w:rsid w:val="00E642BE"/>
    <w:rPr>
      <w:rFonts w:ascii="Arial" w:eastAsia="Times New Roman" w:hAnsi="Arial" w:cs="Times New Roman"/>
      <w:sz w:val="30"/>
      <w:szCs w:val="20"/>
    </w:rPr>
  </w:style>
  <w:style w:type="paragraph" w:styleId="ListParagraph">
    <w:name w:val="List Paragraph"/>
    <w:basedOn w:val="Normal"/>
    <w:uiPriority w:val="34"/>
    <w:qFormat/>
    <w:rsid w:val="00C21E53"/>
    <w:pPr>
      <w:ind w:left="720"/>
      <w:contextualSpacing/>
    </w:pPr>
  </w:style>
  <w:style w:type="paragraph" w:styleId="FootnoteText">
    <w:name w:val="footnote text"/>
    <w:basedOn w:val="Normal"/>
    <w:link w:val="FootnoteTextChar"/>
    <w:uiPriority w:val="99"/>
    <w:semiHidden/>
    <w:unhideWhenUsed/>
    <w:rsid w:val="000B1327"/>
    <w:rPr>
      <w:sz w:val="20"/>
    </w:rPr>
  </w:style>
  <w:style w:type="character" w:customStyle="1" w:styleId="FootnoteTextChar">
    <w:name w:val="Footnote Text Char"/>
    <w:basedOn w:val="DefaultParagraphFont"/>
    <w:link w:val="FootnoteText"/>
    <w:uiPriority w:val="99"/>
    <w:semiHidden/>
    <w:rsid w:val="000B1327"/>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0B1327"/>
    <w:rPr>
      <w:vertAlign w:val="superscript"/>
    </w:rPr>
  </w:style>
  <w:style w:type="table" w:styleId="TableGrid">
    <w:name w:val="Table Grid"/>
    <w:basedOn w:val="TableNormal"/>
    <w:uiPriority w:val="39"/>
    <w:rsid w:val="00C82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D2BAF"/>
    <w:rPr>
      <w:sz w:val="16"/>
      <w:szCs w:val="16"/>
    </w:rPr>
  </w:style>
  <w:style w:type="paragraph" w:styleId="CommentText">
    <w:name w:val="annotation text"/>
    <w:basedOn w:val="Normal"/>
    <w:link w:val="CommentTextChar"/>
    <w:uiPriority w:val="99"/>
    <w:unhideWhenUsed/>
    <w:rsid w:val="000D2BAF"/>
    <w:rPr>
      <w:sz w:val="20"/>
    </w:rPr>
  </w:style>
  <w:style w:type="character" w:customStyle="1" w:styleId="CommentTextChar">
    <w:name w:val="Comment Text Char"/>
    <w:basedOn w:val="DefaultParagraphFont"/>
    <w:link w:val="CommentText"/>
    <w:uiPriority w:val="99"/>
    <w:rsid w:val="000D2BAF"/>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0D2BAF"/>
    <w:rPr>
      <w:b/>
      <w:bCs/>
    </w:rPr>
  </w:style>
  <w:style w:type="character" w:customStyle="1" w:styleId="CommentSubjectChar">
    <w:name w:val="Comment Subject Char"/>
    <w:basedOn w:val="CommentTextChar"/>
    <w:link w:val="CommentSubject"/>
    <w:uiPriority w:val="99"/>
    <w:semiHidden/>
    <w:rsid w:val="000D2BAF"/>
    <w:rPr>
      <w:rFonts w:ascii="Arial" w:eastAsia="Times New Roman" w:hAnsi="Arial" w:cs="Times New Roman"/>
      <w:b/>
      <w:bCs/>
      <w:sz w:val="20"/>
      <w:szCs w:val="20"/>
    </w:rPr>
  </w:style>
  <w:style w:type="character" w:customStyle="1" w:styleId="Heading2Char">
    <w:name w:val="Heading 2 Char"/>
    <w:basedOn w:val="DefaultParagraphFont"/>
    <w:link w:val="Heading2"/>
    <w:uiPriority w:val="9"/>
    <w:semiHidden/>
    <w:rsid w:val="00674787"/>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498135">
      <w:bodyDiv w:val="1"/>
      <w:marLeft w:val="0"/>
      <w:marRight w:val="0"/>
      <w:marTop w:val="0"/>
      <w:marBottom w:val="0"/>
      <w:divBdr>
        <w:top w:val="none" w:sz="0" w:space="0" w:color="auto"/>
        <w:left w:val="none" w:sz="0" w:space="0" w:color="auto"/>
        <w:bottom w:val="none" w:sz="0" w:space="0" w:color="auto"/>
        <w:right w:val="none" w:sz="0" w:space="0" w:color="auto"/>
      </w:divBdr>
    </w:div>
    <w:div w:id="1310358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829</TotalTime>
  <Pages>4</Pages>
  <Words>1554</Words>
  <Characters>8862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W3R</Company>
  <LinksUpToDate>false</LinksUpToDate>
  <CharactersWithSpaces>10396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McCullagh</dc:creator>
  <cp:keywords/>
  <dc:description/>
  <cp:lastModifiedBy>Aaron Roberts</cp:lastModifiedBy>
  <cp:revision>170</cp:revision>
  <dcterms:created xsi:type="dcterms:W3CDTF">2020-06-30T12:23:00Z</dcterms:created>
  <dcterms:modified xsi:type="dcterms:W3CDTF">2025-02-24T15:28:00Z</dcterms:modified>
</cp:coreProperties>
</file>